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u w:val="none"/>
          <w:lang w:val="en-US" w:eastAsia="zh-CN"/>
        </w:rPr>
        <w:t>示范项目申请报告参考提纲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项目基本情况，建设背景和必要性分析。项目前期工作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进展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情况。项目业主单位基本情况。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项目建设方案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leftChars="0" w:firstLine="0" w:firstLine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适用条件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煤炭煤层气资源条件，瓦斯灾害程度，瓦斯气源情况等。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leftChars="0" w:firstLine="0" w:firstLine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技术方案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关键技术装备及系统性能，创新性水平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技术指标等。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leftChars="0" w:firstLine="0" w:firstLine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工程建设方案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建设规模、进度安排等。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leftChars="0" w:firstLine="0" w:firstLine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经济评价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项目总投资，产品价格，投资回收期、内部收益率，商业模式，促进减少井下灾害治理投入等。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640" w:leftChars="0" w:firstLine="0" w:firstLineChars="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安全环保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分析评价项目对促进安全生产、地方经济发展、改善生态环境等方面的效果及影响。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预期示范效益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预期在煤矿瓦斯综合治理和煤层气勘探开发方面可能取得的新认识。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u w:val="none"/>
          <w:lang w:val="en-US" w:eastAsia="zh-CN"/>
        </w:rPr>
        <w:t>验证关键技术装备稳定可靠应用的同时，示范项目对促进提升煤矿瓦斯综合利用水平、加快煤层气规模化开发利用的示范效果，分析关键技术、商业模式、管理经验、适用条件等方面创新成果推广应用前景。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EF11F6"/>
    <w:multiLevelType w:val="singleLevel"/>
    <w:tmpl w:val="DFEF11F6"/>
    <w:lvl w:ilvl="0" w:tentative="0">
      <w:start w:val="1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abstractNum w:abstractNumId="1">
    <w:nsid w:val="FEBF2063"/>
    <w:multiLevelType w:val="singleLevel"/>
    <w:tmpl w:val="FEBF20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iMjJhZmEyZDZmNTE1NTZkMjBmOTY0MjNmNmQyZjkifQ=="/>
  </w:docVars>
  <w:rsids>
    <w:rsidRoot w:val="00000000"/>
    <w:rsid w:val="58E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2023-07-13T07:12:29Z</dcterms:created>
  <dc:creator>goveditor</dc:creator>
  <cp:lastModifiedBy>goveditor</cp:lastModifiedBy>
  <dcterms:modified xsi:type="dcterms:W3CDTF">2023-07-13T07:12:47Z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67457E239147408D87411E2EDFDD0371_12</vt:lpwstr>
  </property>
</Properties>
</file>