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D7E254" w14:textId="77777777" w:rsidR="00BF1963" w:rsidRPr="00317BD8" w:rsidRDefault="00250D17">
      <w:pPr>
        <w:rPr>
          <w:rFonts w:ascii="黑体" w:eastAsia="黑体" w:hAnsi="黑体" w:cs="黑体"/>
          <w:b/>
          <w:bCs/>
        </w:rPr>
      </w:pPr>
      <w:r w:rsidRPr="00317BD8">
        <w:rPr>
          <w:rFonts w:ascii="黑体" w:eastAsia="黑体" w:hAnsi="黑体" w:cs="黑体" w:hint="eastAsia"/>
          <w:b/>
          <w:bCs/>
        </w:rPr>
        <w:t>ISC XXX</w:t>
      </w:r>
    </w:p>
    <w:p w14:paraId="44126531" w14:textId="77777777" w:rsidR="00BF1963" w:rsidRPr="00317BD8" w:rsidRDefault="00250D17">
      <w:pPr>
        <w:rPr>
          <w:rFonts w:ascii="黑体" w:eastAsia="黑体" w:hAnsi="黑体" w:cs="黑体"/>
          <w:b/>
          <w:bCs/>
        </w:rPr>
      </w:pPr>
      <w:r w:rsidRPr="00317BD8">
        <w:rPr>
          <w:rFonts w:ascii="黑体" w:eastAsia="黑体" w:hAnsi="黑体" w:cs="黑体" w:hint="eastAsia"/>
          <w:b/>
          <w:bCs/>
        </w:rPr>
        <w:t xml:space="preserve"> XX</w:t>
      </w:r>
    </w:p>
    <w:p w14:paraId="10C0D6E1" w14:textId="77777777" w:rsidR="00BF1963" w:rsidRPr="00317BD8" w:rsidRDefault="00BF1963">
      <w:pPr>
        <w:rPr>
          <w:rFonts w:ascii="黑体" w:eastAsia="黑体" w:hAnsi="黑体" w:cs="黑体"/>
          <w:b/>
          <w:bCs/>
        </w:rPr>
      </w:pPr>
    </w:p>
    <w:p w14:paraId="5100338E" w14:textId="77777777" w:rsidR="00BF1963" w:rsidRPr="00317BD8" w:rsidRDefault="00BF1963">
      <w:pPr>
        <w:rPr>
          <w:rFonts w:ascii="黑体" w:eastAsia="黑体" w:hAnsi="黑体" w:cs="黑体"/>
          <w:b/>
          <w:bCs/>
        </w:rPr>
      </w:pPr>
    </w:p>
    <w:p w14:paraId="0FC6A2CF" w14:textId="77777777" w:rsidR="00BF1963" w:rsidRPr="00317BD8" w:rsidRDefault="00BF1963">
      <w:pPr>
        <w:rPr>
          <w:rFonts w:ascii="黑体" w:eastAsia="黑体" w:hAnsi="黑体" w:cs="黑体"/>
          <w:b/>
          <w:bCs/>
        </w:rPr>
      </w:pPr>
    </w:p>
    <w:p w14:paraId="526098F8" w14:textId="77777777" w:rsidR="00BF1963" w:rsidRPr="00317BD8" w:rsidRDefault="00250D17">
      <w:pPr>
        <w:jc w:val="center"/>
        <w:rPr>
          <w:b/>
          <w:bCs/>
          <w:sz w:val="72"/>
          <w:szCs w:val="72"/>
        </w:rPr>
      </w:pPr>
      <w:r w:rsidRPr="00317BD8">
        <w:rPr>
          <w:rFonts w:hint="eastAsia"/>
          <w:b/>
          <w:bCs/>
          <w:sz w:val="72"/>
          <w:szCs w:val="72"/>
        </w:rPr>
        <w:t>团</w:t>
      </w:r>
      <w:r w:rsidRPr="00317BD8">
        <w:rPr>
          <w:rFonts w:hint="eastAsia"/>
          <w:b/>
          <w:bCs/>
          <w:sz w:val="72"/>
          <w:szCs w:val="72"/>
        </w:rPr>
        <w:t xml:space="preserve">    </w:t>
      </w:r>
      <w:r w:rsidRPr="00317BD8">
        <w:rPr>
          <w:rFonts w:hint="eastAsia"/>
          <w:b/>
          <w:bCs/>
          <w:sz w:val="72"/>
          <w:szCs w:val="72"/>
        </w:rPr>
        <w:t>体</w:t>
      </w:r>
      <w:r w:rsidRPr="00317BD8">
        <w:rPr>
          <w:rFonts w:hint="eastAsia"/>
          <w:b/>
          <w:bCs/>
          <w:sz w:val="72"/>
          <w:szCs w:val="72"/>
        </w:rPr>
        <w:t xml:space="preserve">    </w:t>
      </w:r>
      <w:r w:rsidRPr="00317BD8">
        <w:rPr>
          <w:rFonts w:hint="eastAsia"/>
          <w:b/>
          <w:bCs/>
          <w:sz w:val="72"/>
          <w:szCs w:val="72"/>
        </w:rPr>
        <w:t>标</w:t>
      </w:r>
      <w:r w:rsidRPr="00317BD8">
        <w:rPr>
          <w:rFonts w:hint="eastAsia"/>
          <w:b/>
          <w:bCs/>
          <w:sz w:val="72"/>
          <w:szCs w:val="72"/>
        </w:rPr>
        <w:t xml:space="preserve">    </w:t>
      </w:r>
      <w:r w:rsidRPr="00317BD8">
        <w:rPr>
          <w:rFonts w:hint="eastAsia"/>
          <w:b/>
          <w:bCs/>
          <w:sz w:val="72"/>
          <w:szCs w:val="72"/>
        </w:rPr>
        <w:t>准</w:t>
      </w:r>
    </w:p>
    <w:p w14:paraId="5ED93DA8" w14:textId="77777777" w:rsidR="00BF1963" w:rsidRPr="00317BD8" w:rsidRDefault="00250D17">
      <w:pPr>
        <w:rPr>
          <w:rFonts w:ascii="黑体" w:eastAsia="黑体" w:hAnsi="黑体" w:cs="黑体"/>
          <w:sz w:val="28"/>
          <w:szCs w:val="28"/>
        </w:rPr>
      </w:pPr>
      <w:r w:rsidRPr="00317BD8">
        <w:rPr>
          <w:rFonts w:hint="eastAsia"/>
        </w:rPr>
        <w:t xml:space="preserve">                                                              </w:t>
      </w:r>
      <w:r w:rsidRPr="00317BD8">
        <w:rPr>
          <w:rFonts w:hint="eastAsia"/>
          <w:b/>
          <w:bCs/>
          <w:sz w:val="30"/>
          <w:szCs w:val="30"/>
        </w:rPr>
        <w:t xml:space="preserve"> </w:t>
      </w:r>
      <w:r w:rsidRPr="00317BD8">
        <w:rPr>
          <w:rFonts w:ascii="黑体" w:eastAsia="黑体" w:hAnsi="黑体" w:cs="黑体" w:hint="eastAsia"/>
          <w:b/>
          <w:bCs/>
          <w:sz w:val="28"/>
          <w:szCs w:val="28"/>
        </w:rPr>
        <w:t>T/CMIA  XXX—2020</w:t>
      </w:r>
    </w:p>
    <w:p w14:paraId="4F1F2E85" w14:textId="77777777" w:rsidR="00BF1963" w:rsidRPr="00317BD8" w:rsidRDefault="00250D17">
      <w:pPr>
        <w:rPr>
          <w:u w:val="single"/>
        </w:rPr>
      </w:pPr>
      <w:r w:rsidRPr="00317BD8">
        <w:rPr>
          <w:rFonts w:hint="eastAsia"/>
          <w:u w:val="single"/>
        </w:rPr>
        <w:t xml:space="preserve">                                                                                               </w:t>
      </w:r>
    </w:p>
    <w:p w14:paraId="7A489202" w14:textId="77777777" w:rsidR="00BF1963" w:rsidRPr="00317BD8" w:rsidRDefault="00BF1963">
      <w:pPr>
        <w:rPr>
          <w:u w:val="single"/>
        </w:rPr>
      </w:pPr>
    </w:p>
    <w:p w14:paraId="4D1653EE" w14:textId="77777777" w:rsidR="00BF1963" w:rsidRPr="00317BD8" w:rsidRDefault="00BF1963">
      <w:pPr>
        <w:rPr>
          <w:u w:val="single"/>
        </w:rPr>
      </w:pPr>
    </w:p>
    <w:p w14:paraId="6C9EBF61" w14:textId="77777777" w:rsidR="00BF1963" w:rsidRPr="00317BD8" w:rsidRDefault="00BF1963">
      <w:pPr>
        <w:rPr>
          <w:u w:val="single"/>
        </w:rPr>
      </w:pPr>
    </w:p>
    <w:p w14:paraId="2120D7FD" w14:textId="77777777" w:rsidR="00BF1963" w:rsidRPr="00317BD8" w:rsidRDefault="00BF1963">
      <w:pPr>
        <w:rPr>
          <w:u w:val="single"/>
        </w:rPr>
      </w:pPr>
    </w:p>
    <w:p w14:paraId="040AC02F" w14:textId="77777777" w:rsidR="00BF1963" w:rsidRPr="00317BD8" w:rsidRDefault="00BF1963">
      <w:pPr>
        <w:rPr>
          <w:u w:val="single"/>
        </w:rPr>
      </w:pPr>
    </w:p>
    <w:p w14:paraId="2B7B7230" w14:textId="77777777" w:rsidR="00BF1963" w:rsidRPr="00317BD8" w:rsidRDefault="00BF1963">
      <w:pPr>
        <w:rPr>
          <w:u w:val="single"/>
        </w:rPr>
      </w:pPr>
    </w:p>
    <w:p w14:paraId="39D86E3C" w14:textId="77777777" w:rsidR="00BF1963" w:rsidRPr="00317BD8" w:rsidRDefault="00BF1963">
      <w:pPr>
        <w:rPr>
          <w:u w:val="single"/>
        </w:rPr>
      </w:pPr>
    </w:p>
    <w:p w14:paraId="3F09C29F" w14:textId="77777777" w:rsidR="00BF1963" w:rsidRPr="00317BD8" w:rsidRDefault="00BF1963">
      <w:pPr>
        <w:rPr>
          <w:u w:val="single"/>
        </w:rPr>
      </w:pPr>
    </w:p>
    <w:p w14:paraId="747C2AE5" w14:textId="77777777" w:rsidR="00BF1963" w:rsidRPr="00317BD8" w:rsidRDefault="00BF1963">
      <w:pPr>
        <w:rPr>
          <w:u w:val="single"/>
        </w:rPr>
      </w:pPr>
    </w:p>
    <w:p w14:paraId="5A868AED" w14:textId="77777777" w:rsidR="00BF1963" w:rsidRPr="00317BD8" w:rsidRDefault="00BF1963"/>
    <w:p w14:paraId="768C8A20" w14:textId="77777777" w:rsidR="00BF1963" w:rsidRPr="00317BD8" w:rsidRDefault="00250D17">
      <w:pPr>
        <w:jc w:val="center"/>
        <w:rPr>
          <w:rFonts w:ascii="黑体" w:eastAsia="黑体" w:hAnsi="黑体" w:cs="黑体"/>
          <w:b/>
          <w:bCs/>
          <w:sz w:val="52"/>
          <w:szCs w:val="52"/>
        </w:rPr>
      </w:pPr>
      <w:r w:rsidRPr="00317BD8">
        <w:rPr>
          <w:rFonts w:ascii="黑体" w:eastAsia="黑体" w:hAnsi="黑体" w:cs="黑体" w:hint="eastAsia"/>
          <w:b/>
          <w:bCs/>
          <w:sz w:val="52"/>
          <w:szCs w:val="52"/>
        </w:rPr>
        <w:t>再制造矿用刮板输送机</w:t>
      </w:r>
    </w:p>
    <w:p w14:paraId="089BDA46" w14:textId="77777777" w:rsidR="00BF1963" w:rsidRPr="00317BD8" w:rsidRDefault="00250D17">
      <w:pPr>
        <w:jc w:val="center"/>
        <w:rPr>
          <w:rFonts w:ascii="黑体" w:eastAsia="黑体" w:hAnsi="黑体" w:cs="黑体"/>
          <w:b/>
          <w:bCs/>
          <w:sz w:val="52"/>
          <w:szCs w:val="52"/>
        </w:rPr>
      </w:pPr>
      <w:r w:rsidRPr="00317BD8">
        <w:rPr>
          <w:rFonts w:ascii="黑体" w:eastAsia="黑体" w:hAnsi="黑体" w:cs="黑体" w:hint="eastAsia"/>
          <w:b/>
          <w:bCs/>
          <w:sz w:val="52"/>
          <w:szCs w:val="52"/>
        </w:rPr>
        <w:t>通用技术条件</w:t>
      </w:r>
    </w:p>
    <w:p w14:paraId="5E117197" w14:textId="77777777" w:rsidR="00BF1963" w:rsidRPr="00317BD8" w:rsidRDefault="00BF1963">
      <w:pPr>
        <w:rPr>
          <w:rFonts w:ascii="宋体" w:eastAsia="宋体" w:hAnsi="宋体" w:cs="宋体"/>
        </w:rPr>
      </w:pPr>
    </w:p>
    <w:p w14:paraId="5E3F969B" w14:textId="77777777" w:rsidR="00BF1963" w:rsidRPr="00317BD8" w:rsidRDefault="00250D17">
      <w:pPr>
        <w:jc w:val="center"/>
        <w:rPr>
          <w:rFonts w:ascii="黑体" w:eastAsia="黑体" w:hAnsi="黑体" w:cs="黑体"/>
          <w:spacing w:val="-20"/>
          <w:sz w:val="28"/>
          <w:szCs w:val="28"/>
        </w:rPr>
      </w:pPr>
      <w:r w:rsidRPr="00317BD8">
        <w:rPr>
          <w:rFonts w:ascii="黑体" w:eastAsia="黑体" w:hAnsi="黑体" w:cs="黑体" w:hint="eastAsia"/>
          <w:spacing w:val="-20"/>
          <w:sz w:val="28"/>
          <w:szCs w:val="28"/>
        </w:rPr>
        <w:t xml:space="preserve">Technical specification for remanufacturing of </w:t>
      </w:r>
    </w:p>
    <w:p w14:paraId="48818F9A" w14:textId="77777777" w:rsidR="00BF1963" w:rsidRPr="00317BD8" w:rsidRDefault="00250D17">
      <w:pPr>
        <w:jc w:val="center"/>
        <w:rPr>
          <w:rFonts w:ascii="黑体" w:eastAsia="黑体" w:hAnsi="黑体" w:cs="黑体"/>
          <w:spacing w:val="-20"/>
          <w:sz w:val="28"/>
          <w:szCs w:val="28"/>
        </w:rPr>
      </w:pPr>
      <w:r w:rsidRPr="00317BD8">
        <w:rPr>
          <w:rFonts w:ascii="黑体" w:eastAsia="黑体" w:hAnsi="黑体" w:cs="黑体" w:hint="eastAsia"/>
          <w:spacing w:val="-20"/>
          <w:sz w:val="28"/>
          <w:szCs w:val="28"/>
        </w:rPr>
        <w:t xml:space="preserve">mining scraper </w:t>
      </w:r>
      <w:proofErr w:type="spellStart"/>
      <w:r w:rsidRPr="00317BD8">
        <w:rPr>
          <w:rFonts w:ascii="黑体" w:eastAsia="黑体" w:hAnsi="黑体" w:cs="黑体" w:hint="eastAsia"/>
          <w:spacing w:val="-20"/>
          <w:sz w:val="28"/>
          <w:szCs w:val="28"/>
        </w:rPr>
        <w:t>conveyorfor</w:t>
      </w:r>
      <w:proofErr w:type="spellEnd"/>
      <w:r w:rsidRPr="00317BD8">
        <w:rPr>
          <w:rFonts w:ascii="黑体" w:eastAsia="黑体" w:hAnsi="黑体" w:cs="黑体" w:hint="eastAsia"/>
          <w:spacing w:val="-20"/>
          <w:sz w:val="28"/>
          <w:szCs w:val="28"/>
        </w:rPr>
        <w:t xml:space="preserve"> coal mine</w:t>
      </w:r>
    </w:p>
    <w:p w14:paraId="2D6ED1E0" w14:textId="77777777" w:rsidR="00BF1963" w:rsidRPr="00317BD8" w:rsidRDefault="00BF1963">
      <w:pPr>
        <w:jc w:val="center"/>
        <w:rPr>
          <w:rFonts w:ascii="宋体" w:eastAsia="宋体" w:hAnsi="宋体" w:cs="宋体"/>
          <w:b/>
          <w:bCs/>
          <w:sz w:val="32"/>
          <w:szCs w:val="32"/>
        </w:rPr>
      </w:pPr>
    </w:p>
    <w:p w14:paraId="0F764A6E" w14:textId="77777777" w:rsidR="00BF1963" w:rsidRPr="00317BD8" w:rsidRDefault="00BF1963">
      <w:pPr>
        <w:jc w:val="center"/>
        <w:rPr>
          <w:rFonts w:ascii="宋体" w:eastAsia="宋体" w:hAnsi="宋体" w:cs="宋体"/>
          <w:b/>
          <w:bCs/>
          <w:sz w:val="32"/>
          <w:szCs w:val="32"/>
        </w:rPr>
      </w:pPr>
    </w:p>
    <w:p w14:paraId="48121F73" w14:textId="77777777" w:rsidR="00BF1963" w:rsidRPr="00317BD8" w:rsidRDefault="00BF1963">
      <w:pPr>
        <w:jc w:val="center"/>
        <w:rPr>
          <w:rFonts w:ascii="宋体" w:eastAsia="宋体" w:hAnsi="宋体" w:cs="宋体"/>
          <w:b/>
          <w:bCs/>
          <w:sz w:val="32"/>
          <w:szCs w:val="32"/>
        </w:rPr>
      </w:pPr>
    </w:p>
    <w:p w14:paraId="7A4D4F2C" w14:textId="77777777" w:rsidR="00BF1963" w:rsidRPr="00317BD8" w:rsidRDefault="00BF1963">
      <w:pPr>
        <w:jc w:val="center"/>
        <w:rPr>
          <w:rFonts w:ascii="宋体" w:eastAsia="宋体" w:hAnsi="宋体" w:cs="宋体"/>
          <w:b/>
          <w:bCs/>
          <w:sz w:val="32"/>
          <w:szCs w:val="32"/>
        </w:rPr>
      </w:pPr>
    </w:p>
    <w:p w14:paraId="02E3475F" w14:textId="77777777" w:rsidR="00BF1963" w:rsidRPr="00317BD8" w:rsidRDefault="00BF1963">
      <w:pPr>
        <w:rPr>
          <w:rFonts w:ascii="宋体" w:eastAsia="宋体" w:hAnsi="宋体" w:cs="宋体"/>
          <w:b/>
          <w:bCs/>
          <w:sz w:val="32"/>
          <w:szCs w:val="32"/>
          <w:u w:val="single"/>
        </w:rPr>
      </w:pPr>
    </w:p>
    <w:p w14:paraId="6435A8B4" w14:textId="77777777" w:rsidR="00BF1963" w:rsidRPr="00317BD8" w:rsidRDefault="00250D17">
      <w:pPr>
        <w:rPr>
          <w:rFonts w:ascii="黑体" w:eastAsia="黑体" w:hAnsi="黑体" w:cs="黑体"/>
          <w:b/>
          <w:bCs/>
          <w:sz w:val="28"/>
          <w:szCs w:val="28"/>
          <w:u w:val="single"/>
        </w:rPr>
      </w:pPr>
      <w:r w:rsidRPr="00317BD8">
        <w:rPr>
          <w:rFonts w:ascii="黑体" w:eastAsia="黑体" w:hAnsi="黑体" w:cs="黑体" w:hint="eastAsia"/>
          <w:b/>
          <w:bCs/>
          <w:sz w:val="28"/>
          <w:szCs w:val="28"/>
          <w:u w:val="single"/>
        </w:rPr>
        <w:t>2020-XX-XX发布                                       2020-XX-XX实施</w:t>
      </w:r>
    </w:p>
    <w:p w14:paraId="7995ED23" w14:textId="77777777" w:rsidR="00BF1963" w:rsidRPr="00317BD8" w:rsidRDefault="00250D17">
      <w:pPr>
        <w:jc w:val="center"/>
        <w:rPr>
          <w:rFonts w:ascii="黑体" w:eastAsia="黑体" w:hAnsi="黑体" w:cs="黑体"/>
          <w:b/>
          <w:bCs/>
          <w:sz w:val="28"/>
          <w:szCs w:val="28"/>
        </w:rPr>
      </w:pPr>
      <w:r w:rsidRPr="00317BD8">
        <w:rPr>
          <w:rFonts w:hint="eastAsia"/>
          <w:b/>
          <w:bCs/>
          <w:sz w:val="28"/>
          <w:szCs w:val="28"/>
        </w:rPr>
        <w:t>中国煤炭机械工业协会</w:t>
      </w:r>
      <w:r w:rsidRPr="00317BD8">
        <w:rPr>
          <w:rFonts w:hint="eastAsia"/>
          <w:b/>
          <w:bCs/>
          <w:sz w:val="32"/>
          <w:szCs w:val="32"/>
        </w:rPr>
        <w:t xml:space="preserve">    </w:t>
      </w:r>
      <w:r w:rsidRPr="00317BD8">
        <w:rPr>
          <w:rFonts w:ascii="黑体" w:eastAsia="黑体" w:hAnsi="黑体" w:cs="黑体" w:hint="eastAsia"/>
          <w:b/>
          <w:bCs/>
          <w:sz w:val="28"/>
          <w:szCs w:val="28"/>
        </w:rPr>
        <w:t>发 布</w:t>
      </w:r>
    </w:p>
    <w:p w14:paraId="07B75034" w14:textId="77777777" w:rsidR="00BF1963" w:rsidRPr="00317BD8" w:rsidRDefault="00BF1963">
      <w:pPr>
        <w:rPr>
          <w:rFonts w:ascii="黑体" w:eastAsia="黑体" w:hAnsi="黑体" w:cs="黑体"/>
          <w:b/>
          <w:bCs/>
          <w:sz w:val="28"/>
          <w:szCs w:val="28"/>
        </w:rPr>
        <w:sectPr w:rsidR="00BF1963" w:rsidRPr="00317BD8">
          <w:pgSz w:w="11906" w:h="16838"/>
          <w:pgMar w:top="567" w:right="850" w:bottom="1134" w:left="1417" w:header="851" w:footer="992" w:gutter="0"/>
          <w:pgNumType w:fmt="upperRoman" w:start="1"/>
          <w:cols w:space="0"/>
          <w:docGrid w:type="lines" w:linePitch="312"/>
        </w:sectPr>
      </w:pPr>
    </w:p>
    <w:p w14:paraId="1E8C915E" w14:textId="77777777" w:rsidR="00BF1963" w:rsidRPr="00317BD8" w:rsidRDefault="00250D17">
      <w:pPr>
        <w:jc w:val="right"/>
        <w:rPr>
          <w:sz w:val="24"/>
        </w:rPr>
      </w:pPr>
      <w:r w:rsidRPr="00317BD8">
        <w:rPr>
          <w:rFonts w:hint="eastAsia"/>
        </w:rPr>
        <w:lastRenderedPageBreak/>
        <w:t xml:space="preserve">                              </w:t>
      </w:r>
      <w:r w:rsidRPr="00317BD8">
        <w:rPr>
          <w:rFonts w:ascii="黑体" w:eastAsia="黑体" w:hAnsi="黑体" w:cs="黑体" w:hint="eastAsia"/>
          <w:sz w:val="24"/>
        </w:rPr>
        <w:t>T/CMIA  XXX—2020</w:t>
      </w:r>
    </w:p>
    <w:p w14:paraId="11B178A7" w14:textId="77777777" w:rsidR="00BF1963" w:rsidRPr="00317BD8" w:rsidRDefault="00250D17">
      <w:pPr>
        <w:jc w:val="center"/>
        <w:rPr>
          <w:rFonts w:ascii="黑体" w:eastAsia="黑体" w:hAnsi="黑体" w:cs="黑体"/>
          <w:sz w:val="32"/>
          <w:szCs w:val="32"/>
        </w:rPr>
      </w:pPr>
      <w:r w:rsidRPr="00317BD8">
        <w:rPr>
          <w:rFonts w:ascii="黑体" w:eastAsia="黑体" w:hAnsi="黑体" w:cs="黑体" w:hint="eastAsia"/>
          <w:sz w:val="32"/>
          <w:szCs w:val="32"/>
        </w:rPr>
        <w:t>前     言</w:t>
      </w:r>
    </w:p>
    <w:p w14:paraId="606E464E" w14:textId="77777777" w:rsidR="00BF1963" w:rsidRPr="00317BD8" w:rsidRDefault="00BF1963"/>
    <w:p w14:paraId="018BFB8D" w14:textId="77777777" w:rsidR="00BF1963" w:rsidRPr="00317BD8" w:rsidRDefault="00BF1963"/>
    <w:p w14:paraId="723E0232" w14:textId="77777777" w:rsidR="00BF1963" w:rsidRPr="00317BD8" w:rsidRDefault="00250D17">
      <w:r w:rsidRPr="00317BD8">
        <w:rPr>
          <w:rFonts w:hint="eastAsia"/>
        </w:rPr>
        <w:t>本文件按照</w:t>
      </w:r>
      <w:r w:rsidRPr="00317BD8">
        <w:rPr>
          <w:rFonts w:hint="eastAsia"/>
        </w:rPr>
        <w:t>GB/T1.1-2020</w:t>
      </w:r>
      <w:r w:rsidRPr="00317BD8">
        <w:rPr>
          <w:rFonts w:hint="eastAsia"/>
        </w:rPr>
        <w:t>给出的规定起草。</w:t>
      </w:r>
    </w:p>
    <w:p w14:paraId="4FE73E49" w14:textId="77777777" w:rsidR="00BF1963" w:rsidRPr="00317BD8" w:rsidRDefault="00250D17">
      <w:r w:rsidRPr="00317BD8">
        <w:rPr>
          <w:rFonts w:hint="eastAsia"/>
        </w:rPr>
        <w:t>请注意本文件的某些内容可能涉及专利。本文件的发布机构不承担识别这些专利的责任。</w:t>
      </w:r>
    </w:p>
    <w:p w14:paraId="754D6124" w14:textId="77777777" w:rsidR="00BF1963" w:rsidRPr="00317BD8" w:rsidRDefault="00250D17">
      <w:r w:rsidRPr="00317BD8">
        <w:rPr>
          <w:rFonts w:hint="eastAsia"/>
        </w:rPr>
        <w:t>本文件由中国煤炭机械工业协会提出并归口。</w:t>
      </w:r>
    </w:p>
    <w:p w14:paraId="34948E20" w14:textId="77777777" w:rsidR="00BF1963" w:rsidRPr="00317BD8" w:rsidRDefault="00250D17">
      <w:r w:rsidRPr="00317BD8">
        <w:rPr>
          <w:rFonts w:hint="eastAsia"/>
        </w:rPr>
        <w:t>本文件起草单位：</w:t>
      </w:r>
    </w:p>
    <w:p w14:paraId="421D38C4" w14:textId="77777777" w:rsidR="00BF1963" w:rsidRPr="00317BD8" w:rsidRDefault="00250D17">
      <w:r w:rsidRPr="00317BD8">
        <w:rPr>
          <w:rFonts w:hint="eastAsia"/>
        </w:rPr>
        <w:t>本文件主要起草人：</w:t>
      </w:r>
    </w:p>
    <w:p w14:paraId="76179A8E" w14:textId="77777777" w:rsidR="00BF1963" w:rsidRPr="00317BD8" w:rsidRDefault="00BF1963"/>
    <w:p w14:paraId="0291343F" w14:textId="77777777" w:rsidR="00BF1963" w:rsidRPr="00317BD8" w:rsidRDefault="00BF1963"/>
    <w:p w14:paraId="178E15B4" w14:textId="77777777" w:rsidR="00BF1963" w:rsidRPr="00317BD8" w:rsidRDefault="00BF1963"/>
    <w:p w14:paraId="40E35271" w14:textId="77777777" w:rsidR="00BF1963" w:rsidRPr="00317BD8" w:rsidRDefault="00BF1963"/>
    <w:p w14:paraId="6BDE7E6F" w14:textId="77777777" w:rsidR="00BF1963" w:rsidRPr="00317BD8" w:rsidRDefault="00BF1963"/>
    <w:p w14:paraId="51A549CE" w14:textId="77777777" w:rsidR="00BF1963" w:rsidRPr="00317BD8" w:rsidRDefault="00BF1963"/>
    <w:p w14:paraId="4D0D49D0" w14:textId="77777777" w:rsidR="00BF1963" w:rsidRPr="00317BD8" w:rsidRDefault="00BF1963"/>
    <w:p w14:paraId="11D59292" w14:textId="77777777" w:rsidR="00BF1963" w:rsidRPr="00317BD8" w:rsidRDefault="00BF1963"/>
    <w:p w14:paraId="4964B4FE" w14:textId="77777777" w:rsidR="00BF1963" w:rsidRPr="00317BD8" w:rsidRDefault="00BF1963"/>
    <w:p w14:paraId="378058D4" w14:textId="77777777" w:rsidR="00BF1963" w:rsidRPr="00317BD8" w:rsidRDefault="00BF1963"/>
    <w:p w14:paraId="51DC8DB6" w14:textId="77777777" w:rsidR="00BF1963" w:rsidRPr="00317BD8" w:rsidRDefault="00BF1963"/>
    <w:p w14:paraId="15357103" w14:textId="77777777" w:rsidR="00BF1963" w:rsidRPr="00317BD8" w:rsidRDefault="00BF1963"/>
    <w:p w14:paraId="3E3D372A" w14:textId="77777777" w:rsidR="00BF1963" w:rsidRPr="00317BD8" w:rsidRDefault="00BF1963"/>
    <w:p w14:paraId="4D7A0D24" w14:textId="77777777" w:rsidR="00BF1963" w:rsidRPr="00317BD8" w:rsidRDefault="00BF1963"/>
    <w:p w14:paraId="5E56F179" w14:textId="77777777" w:rsidR="00BF1963" w:rsidRPr="00317BD8" w:rsidRDefault="00BF1963"/>
    <w:p w14:paraId="487A8F2A" w14:textId="77777777" w:rsidR="00BF1963" w:rsidRPr="00317BD8" w:rsidRDefault="00BF1963"/>
    <w:p w14:paraId="20D320CA" w14:textId="77777777" w:rsidR="00BF1963" w:rsidRPr="00317BD8" w:rsidRDefault="00BF1963"/>
    <w:p w14:paraId="5E9DB9C0" w14:textId="77777777" w:rsidR="00BF1963" w:rsidRPr="00317BD8" w:rsidRDefault="00BF1963"/>
    <w:p w14:paraId="63EBE8D1" w14:textId="77777777" w:rsidR="00BF1963" w:rsidRPr="00317BD8" w:rsidRDefault="00BF1963"/>
    <w:p w14:paraId="6C4F939B" w14:textId="77777777" w:rsidR="00BF1963" w:rsidRPr="00317BD8" w:rsidRDefault="00BF1963"/>
    <w:p w14:paraId="43DEA0E9" w14:textId="77777777" w:rsidR="00BF1963" w:rsidRPr="00317BD8" w:rsidRDefault="00BF1963"/>
    <w:p w14:paraId="4ECFF15F" w14:textId="77777777" w:rsidR="00BF1963" w:rsidRPr="00317BD8" w:rsidRDefault="00BF1963"/>
    <w:p w14:paraId="1A6BA47A" w14:textId="77777777" w:rsidR="00BF1963" w:rsidRPr="00317BD8" w:rsidRDefault="00BF1963"/>
    <w:p w14:paraId="2E91A36E" w14:textId="77777777" w:rsidR="00BF1963" w:rsidRPr="00317BD8" w:rsidRDefault="00BF1963"/>
    <w:p w14:paraId="243774E6" w14:textId="77777777" w:rsidR="00BF1963" w:rsidRPr="00317BD8" w:rsidRDefault="00BF1963"/>
    <w:p w14:paraId="7E8C6F65" w14:textId="77777777" w:rsidR="00BF1963" w:rsidRPr="00317BD8" w:rsidRDefault="00BF1963"/>
    <w:p w14:paraId="6C9A7FB5" w14:textId="77777777" w:rsidR="00BF1963" w:rsidRPr="00317BD8" w:rsidRDefault="00BF1963"/>
    <w:p w14:paraId="7E223311" w14:textId="77777777" w:rsidR="00BF1963" w:rsidRPr="00317BD8" w:rsidRDefault="00BF1963"/>
    <w:p w14:paraId="010E1E2C" w14:textId="77777777" w:rsidR="00BF1963" w:rsidRPr="00317BD8" w:rsidRDefault="00BF1963"/>
    <w:p w14:paraId="15A82F5D" w14:textId="77777777" w:rsidR="00BF1963" w:rsidRPr="00317BD8" w:rsidRDefault="00BF1963"/>
    <w:p w14:paraId="702DD129" w14:textId="77777777" w:rsidR="00BF1963" w:rsidRPr="00317BD8" w:rsidRDefault="00BF1963"/>
    <w:p w14:paraId="28BDF716" w14:textId="77777777" w:rsidR="00BF1963" w:rsidRPr="00317BD8" w:rsidRDefault="00BF1963"/>
    <w:p w14:paraId="1ABCD97E" w14:textId="77777777" w:rsidR="00BF1963" w:rsidRPr="00317BD8" w:rsidRDefault="00BF1963">
      <w:pPr>
        <w:ind w:right="480"/>
        <w:jc w:val="right"/>
        <w:rPr>
          <w:rFonts w:ascii="黑体" w:eastAsia="黑体" w:hAnsi="黑体" w:cs="黑体"/>
          <w:sz w:val="24"/>
        </w:rPr>
        <w:sectPr w:rsidR="00BF1963" w:rsidRPr="00317BD8">
          <w:footerReference w:type="even" r:id="rId8"/>
          <w:footerReference w:type="default" r:id="rId9"/>
          <w:pgSz w:w="11906" w:h="16838"/>
          <w:pgMar w:top="1417" w:right="1134" w:bottom="1417" w:left="1417" w:header="850" w:footer="992" w:gutter="0"/>
          <w:pgNumType w:fmt="upperRoman" w:start="1"/>
          <w:cols w:space="0"/>
          <w:docGrid w:type="lines" w:linePitch="312"/>
        </w:sectPr>
      </w:pPr>
    </w:p>
    <w:p w14:paraId="59F069B9" w14:textId="77777777" w:rsidR="00BF1963" w:rsidRPr="00317BD8" w:rsidRDefault="00BF1963"/>
    <w:p w14:paraId="7714CBD3" w14:textId="77777777" w:rsidR="00BF1963" w:rsidRPr="00317BD8" w:rsidRDefault="00250D17">
      <w:pPr>
        <w:jc w:val="center"/>
        <w:rPr>
          <w:rFonts w:ascii="黑体" w:eastAsia="黑体" w:hAnsi="黑体" w:cs="黑体"/>
          <w:sz w:val="32"/>
          <w:szCs w:val="32"/>
        </w:rPr>
      </w:pPr>
      <w:r w:rsidRPr="00317BD8">
        <w:rPr>
          <w:rFonts w:ascii="黑体" w:eastAsia="黑体" w:hAnsi="黑体" w:cs="黑体" w:hint="eastAsia"/>
          <w:sz w:val="32"/>
          <w:szCs w:val="32"/>
        </w:rPr>
        <w:t>再制造矿用刮板输送机通用技术条件</w:t>
      </w:r>
    </w:p>
    <w:p w14:paraId="73DC53E3" w14:textId="77777777" w:rsidR="00BF1963" w:rsidRPr="00317BD8" w:rsidRDefault="00250D17">
      <w:pPr>
        <w:pStyle w:val="a"/>
        <w:numPr>
          <w:ilvl w:val="0"/>
          <w:numId w:val="3"/>
        </w:numPr>
        <w:rPr>
          <w:rFonts w:ascii="黑体" w:eastAsia="黑体" w:hAnsi="黑体" w:cs="黑体"/>
        </w:rPr>
      </w:pPr>
      <w:r w:rsidRPr="00317BD8">
        <w:rPr>
          <w:rFonts w:ascii="黑体" w:eastAsia="黑体" w:hAnsi="黑体" w:cs="黑体" w:hint="eastAsia"/>
        </w:rPr>
        <w:t>范围</w:t>
      </w:r>
    </w:p>
    <w:p w14:paraId="668B1D94" w14:textId="77777777" w:rsidR="00BF1963" w:rsidRPr="00317BD8" w:rsidRDefault="00BF1963">
      <w:pPr>
        <w:pStyle w:val="a"/>
        <w:numPr>
          <w:ilvl w:val="0"/>
          <w:numId w:val="0"/>
        </w:numPr>
        <w:rPr>
          <w:rFonts w:ascii="黑体" w:eastAsia="黑体" w:hAnsi="黑体" w:cs="黑体"/>
        </w:rPr>
      </w:pPr>
    </w:p>
    <w:p w14:paraId="01FAA92F" w14:textId="77777777" w:rsidR="00BF1963" w:rsidRPr="00317BD8" w:rsidRDefault="00250D17">
      <w:pPr>
        <w:pStyle w:val="ad"/>
      </w:pPr>
      <w:r w:rsidRPr="00317BD8">
        <w:t>本</w:t>
      </w:r>
      <w:r w:rsidRPr="00317BD8">
        <w:rPr>
          <w:rFonts w:hint="eastAsia"/>
        </w:rPr>
        <w:t>文件确立了</w:t>
      </w:r>
      <w:r w:rsidRPr="00317BD8">
        <w:t>再制造刮板输送机的</w:t>
      </w:r>
      <w:r w:rsidRPr="00317BD8">
        <w:rPr>
          <w:rFonts w:hint="eastAsia"/>
        </w:rPr>
        <w:t>规范性引用文件、</w:t>
      </w:r>
      <w:r w:rsidRPr="00317BD8">
        <w:t>术语和定义、</w:t>
      </w:r>
      <w:r w:rsidRPr="00317BD8">
        <w:rPr>
          <w:rFonts w:hint="eastAsia"/>
        </w:rPr>
        <w:t>基本要求、</w:t>
      </w:r>
      <w:r w:rsidRPr="00317BD8">
        <w:t>拆解、清洗</w:t>
      </w:r>
      <w:r w:rsidRPr="00317BD8">
        <w:rPr>
          <w:rFonts w:hint="eastAsia"/>
        </w:rPr>
        <w:t>、检测</w:t>
      </w:r>
      <w:r w:rsidR="00BE6CF3" w:rsidRPr="00317BD8">
        <w:t>与分类</w:t>
      </w:r>
      <w:r w:rsidRPr="00317BD8">
        <w:t>、</w:t>
      </w:r>
      <w:r w:rsidRPr="00317BD8">
        <w:rPr>
          <w:rFonts w:hint="eastAsia"/>
        </w:rPr>
        <w:t>再制造工艺要求</w:t>
      </w:r>
      <w:r w:rsidRPr="00317BD8">
        <w:t>、</w:t>
      </w:r>
      <w:r w:rsidRPr="00317BD8">
        <w:rPr>
          <w:rFonts w:hint="eastAsia"/>
        </w:rPr>
        <w:t>验收要求</w:t>
      </w:r>
      <w:r w:rsidRPr="00317BD8">
        <w:rPr>
          <w:spacing w:val="-4"/>
        </w:rPr>
        <w:t>、</w:t>
      </w:r>
      <w:r w:rsidRPr="00317BD8">
        <w:rPr>
          <w:rFonts w:hint="eastAsia"/>
          <w:spacing w:val="-4"/>
        </w:rPr>
        <w:t>质量保证</w:t>
      </w:r>
      <w:r w:rsidRPr="00317BD8">
        <w:rPr>
          <w:spacing w:val="-4"/>
        </w:rPr>
        <w:t>、标志、包装、运输和贮存。</w:t>
      </w:r>
    </w:p>
    <w:p w14:paraId="08393191" w14:textId="77777777" w:rsidR="00BF1963" w:rsidRPr="00317BD8" w:rsidRDefault="00250D17">
      <w:pPr>
        <w:pStyle w:val="ad"/>
      </w:pPr>
      <w:r w:rsidRPr="00317BD8">
        <w:t>本</w:t>
      </w:r>
      <w:r w:rsidRPr="00317BD8">
        <w:rPr>
          <w:rFonts w:hint="eastAsia"/>
        </w:rPr>
        <w:t>文件</w:t>
      </w:r>
      <w:r w:rsidRPr="00317BD8">
        <w:t>适用于</w:t>
      </w:r>
      <w:r w:rsidRPr="00317BD8">
        <w:rPr>
          <w:rFonts w:hint="eastAsia"/>
        </w:rPr>
        <w:t>煤矿用再制造矿用</w:t>
      </w:r>
      <w:r w:rsidRPr="00317BD8">
        <w:rPr>
          <w:rFonts w:ascii="Times New Roman" w:hint="eastAsia"/>
        </w:rPr>
        <w:t>刮板输送机</w:t>
      </w:r>
      <w:r w:rsidRPr="00317BD8">
        <w:t>（以下简称刮板机）</w:t>
      </w:r>
      <w:r w:rsidRPr="00317BD8">
        <w:rPr>
          <w:rFonts w:hint="eastAsia"/>
        </w:rPr>
        <w:t>。</w:t>
      </w:r>
    </w:p>
    <w:p w14:paraId="152F31B7" w14:textId="77777777" w:rsidR="00BF1963" w:rsidRPr="00317BD8" w:rsidRDefault="00BF1963"/>
    <w:p w14:paraId="4E930021" w14:textId="77777777" w:rsidR="00BF1963" w:rsidRPr="00317BD8" w:rsidRDefault="00250D17">
      <w:pPr>
        <w:pStyle w:val="a"/>
        <w:numPr>
          <w:ilvl w:val="0"/>
          <w:numId w:val="3"/>
        </w:numPr>
        <w:rPr>
          <w:rFonts w:ascii="黑体" w:eastAsia="黑体" w:hAnsi="黑体" w:cs="黑体"/>
        </w:rPr>
      </w:pPr>
      <w:r w:rsidRPr="00317BD8">
        <w:rPr>
          <w:rFonts w:ascii="黑体" w:eastAsia="黑体" w:hAnsi="黑体" w:cs="黑体" w:hint="eastAsia"/>
        </w:rPr>
        <w:t>规范性引用文件</w:t>
      </w:r>
    </w:p>
    <w:p w14:paraId="7878C797" w14:textId="77777777" w:rsidR="00BF1963" w:rsidRPr="00317BD8" w:rsidRDefault="00BF1963">
      <w:pPr>
        <w:pStyle w:val="ad"/>
        <w:ind w:firstLineChars="0" w:firstLine="0"/>
      </w:pPr>
    </w:p>
    <w:p w14:paraId="4C8DED08" w14:textId="77777777" w:rsidR="00BF1963" w:rsidRPr="00317BD8" w:rsidRDefault="00250D17">
      <w:pPr>
        <w:pStyle w:val="ad"/>
      </w:pPr>
      <w:r w:rsidRPr="00317BD8">
        <w:rPr>
          <w:rFonts w:hint="eastAsia"/>
        </w:rPr>
        <w:t>下列文件中的内容通过文中的规范性引用而构成本文件必不可少的条款。其中，注日期的引用文件，仅该日期对应的版本使用与本文件；不注日期的引用文件，其最新版本（包括所有的修改单）适用于本文件。</w:t>
      </w:r>
    </w:p>
    <w:p w14:paraId="7BCB2B70" w14:textId="77777777" w:rsidR="00BF1963" w:rsidRPr="00317BD8" w:rsidRDefault="00250D17">
      <w:pPr>
        <w:pStyle w:val="ad"/>
      </w:pPr>
      <w:r w:rsidRPr="00317BD8">
        <w:t>GB/T 12718</w:t>
      </w:r>
      <w:r w:rsidRPr="00317BD8">
        <w:rPr>
          <w:rFonts w:hint="eastAsia"/>
        </w:rPr>
        <w:t xml:space="preserve"> </w:t>
      </w:r>
      <w:r w:rsidRPr="00317BD8">
        <w:t>矿用高强度圆环链</w:t>
      </w:r>
    </w:p>
    <w:p w14:paraId="3C4E583B" w14:textId="77777777" w:rsidR="00BF1963" w:rsidRPr="00317BD8" w:rsidRDefault="00250D17">
      <w:pPr>
        <w:pStyle w:val="ad"/>
      </w:pPr>
      <w:r w:rsidRPr="00317BD8">
        <w:t>GB/T 13306</w:t>
      </w:r>
      <w:r w:rsidRPr="00317BD8">
        <w:rPr>
          <w:rFonts w:hint="eastAsia"/>
        </w:rPr>
        <w:t xml:space="preserve"> </w:t>
      </w:r>
      <w:r w:rsidRPr="00317BD8">
        <w:t>标牌</w:t>
      </w:r>
    </w:p>
    <w:p w14:paraId="249BA2AE" w14:textId="77777777" w:rsidR="00BF1963" w:rsidRPr="00317BD8" w:rsidRDefault="00250D17">
      <w:pPr>
        <w:pStyle w:val="ad"/>
      </w:pPr>
      <w:r w:rsidRPr="00317BD8">
        <w:t>GB/T</w:t>
      </w:r>
      <w:r w:rsidRPr="00317BD8">
        <w:rPr>
          <w:rFonts w:hint="eastAsia"/>
        </w:rPr>
        <w:t xml:space="preserve"> </w:t>
      </w:r>
      <w:r w:rsidRPr="00317BD8">
        <w:t xml:space="preserve"> 28618 机械产品再制造通用技术要求</w:t>
      </w:r>
    </w:p>
    <w:p w14:paraId="01BCBF7D" w14:textId="77777777" w:rsidR="00BF1963" w:rsidRPr="00317BD8" w:rsidRDefault="00250D17">
      <w:pPr>
        <w:pStyle w:val="ad"/>
      </w:pPr>
      <w:r w:rsidRPr="00317BD8">
        <w:t>GB/T 28619</w:t>
      </w:r>
      <w:r w:rsidRPr="00317BD8">
        <w:rPr>
          <w:rFonts w:hint="eastAsia"/>
        </w:rPr>
        <w:t xml:space="preserve"> </w:t>
      </w:r>
      <w:r w:rsidRPr="00317BD8">
        <w:t>再制造 术语</w:t>
      </w:r>
    </w:p>
    <w:p w14:paraId="410ABC75" w14:textId="77777777" w:rsidR="00BF1963" w:rsidRPr="00317BD8" w:rsidRDefault="00250D17">
      <w:pPr>
        <w:pStyle w:val="ad"/>
      </w:pPr>
      <w:r w:rsidRPr="00317BD8">
        <w:t>AQ 1043 《矿用产品安全标志标识》</w:t>
      </w:r>
      <w:r w:rsidRPr="00317BD8">
        <w:rPr>
          <w:rFonts w:hint="eastAsia"/>
        </w:rPr>
        <w:t>（顺序A前）</w:t>
      </w:r>
    </w:p>
    <w:p w14:paraId="53ECA820" w14:textId="77777777" w:rsidR="00BF1963" w:rsidRPr="00317BD8" w:rsidRDefault="00250D17">
      <w:pPr>
        <w:pStyle w:val="ad"/>
      </w:pPr>
      <w:r w:rsidRPr="00317BD8">
        <w:rPr>
          <w:rFonts w:hint="eastAsia"/>
        </w:rPr>
        <w:t>DB37/T2688.4</w:t>
      </w:r>
      <w:r w:rsidRPr="00317BD8">
        <w:t>《</w:t>
      </w:r>
      <w:r w:rsidRPr="00317BD8">
        <w:rPr>
          <w:rFonts w:hint="eastAsia"/>
        </w:rPr>
        <w:t>再制造煤矿机械技术要求 第4部分：刮板输送机</w:t>
      </w:r>
      <w:r w:rsidRPr="00317BD8">
        <w:t>》</w:t>
      </w:r>
    </w:p>
    <w:p w14:paraId="38FAB961" w14:textId="77777777" w:rsidR="00BF1963" w:rsidRPr="00317BD8" w:rsidRDefault="00250D17">
      <w:pPr>
        <w:pStyle w:val="ad"/>
      </w:pPr>
      <w:r w:rsidRPr="00317BD8">
        <w:t>JB/T 5000.12 重型机械通用技术条件 第 12 部分：涂装</w:t>
      </w:r>
    </w:p>
    <w:p w14:paraId="05A68B58" w14:textId="77777777" w:rsidR="00BF1963" w:rsidRPr="00317BD8" w:rsidRDefault="00250D17">
      <w:pPr>
        <w:pStyle w:val="ad"/>
      </w:pPr>
      <w:r w:rsidRPr="00317BD8">
        <w:t>MT/T 103 矿用刮板输送机出厂检验规范</w:t>
      </w:r>
    </w:p>
    <w:p w14:paraId="613C5EEC" w14:textId="77777777" w:rsidR="00BF1963" w:rsidRPr="00317BD8" w:rsidRDefault="00250D17">
      <w:pPr>
        <w:pStyle w:val="ad"/>
      </w:pPr>
      <w:r w:rsidRPr="00317BD8">
        <w:t>MT/T 105 刮板输送机通用技术条件</w:t>
      </w:r>
    </w:p>
    <w:p w14:paraId="6412672A" w14:textId="77777777" w:rsidR="00BF1963" w:rsidRPr="00317BD8" w:rsidRDefault="00250D17">
      <w:pPr>
        <w:pStyle w:val="ad"/>
      </w:pPr>
      <w:r w:rsidRPr="00317BD8">
        <w:t>MT/T 1097 煤矿机电设备检修技术规范</w:t>
      </w:r>
    </w:p>
    <w:p w14:paraId="310C9186" w14:textId="77777777" w:rsidR="00BF1963" w:rsidRPr="00317BD8" w:rsidRDefault="00250D17">
      <w:pPr>
        <w:pStyle w:val="a"/>
        <w:numPr>
          <w:ilvl w:val="0"/>
          <w:numId w:val="3"/>
        </w:numPr>
        <w:rPr>
          <w:rFonts w:ascii="黑体" w:eastAsia="黑体" w:hAnsi="黑体" w:cs="黑体"/>
        </w:rPr>
      </w:pPr>
      <w:r w:rsidRPr="00317BD8">
        <w:rPr>
          <w:rFonts w:ascii="黑体" w:eastAsia="黑体" w:hAnsi="黑体" w:cs="黑体" w:hint="eastAsia"/>
        </w:rPr>
        <w:t>术语和</w:t>
      </w:r>
      <w:r w:rsidRPr="00317BD8">
        <w:rPr>
          <w:rFonts w:ascii="黑体" w:eastAsia="黑体" w:hAnsi="黑体" w:cs="黑体"/>
        </w:rPr>
        <w:t>定义</w:t>
      </w:r>
    </w:p>
    <w:p w14:paraId="4A377E4C" w14:textId="77777777" w:rsidR="00BF1963" w:rsidRPr="00317BD8" w:rsidRDefault="00BF1963"/>
    <w:p w14:paraId="4DF5016D" w14:textId="77777777" w:rsidR="00BF1963" w:rsidRPr="00317BD8" w:rsidRDefault="00250D17">
      <w:pPr>
        <w:ind w:firstLineChars="200" w:firstLine="420"/>
        <w:rPr>
          <w:rFonts w:asciiTheme="minorEastAsia" w:hAnsiTheme="minorEastAsia" w:cstheme="minorEastAsia"/>
        </w:rPr>
      </w:pPr>
      <w:r w:rsidRPr="00317BD8">
        <w:rPr>
          <w:rFonts w:asciiTheme="minorEastAsia" w:hAnsiTheme="minorEastAsia" w:cstheme="minorEastAsia" w:hint="eastAsia"/>
        </w:rPr>
        <w:t xml:space="preserve">GB/T 28619 界定的以及下列术语和定义适用于本文件。 </w:t>
      </w:r>
    </w:p>
    <w:p w14:paraId="4B4487F1" w14:textId="77777777" w:rsidR="00BF1963" w:rsidRPr="00317BD8" w:rsidRDefault="00BF1963">
      <w:pPr>
        <w:rPr>
          <w:rFonts w:asciiTheme="minorEastAsia" w:hAnsiTheme="minorEastAsia" w:cstheme="minorEastAsia"/>
        </w:rPr>
      </w:pPr>
    </w:p>
    <w:p w14:paraId="1F1FFE1F" w14:textId="77777777" w:rsidR="00BF1963" w:rsidRPr="00317BD8" w:rsidRDefault="00250D17">
      <w:pPr>
        <w:pStyle w:val="a"/>
        <w:numPr>
          <w:ilvl w:val="0"/>
          <w:numId w:val="3"/>
        </w:numPr>
        <w:rPr>
          <w:rFonts w:ascii="黑体" w:eastAsia="黑体" w:hAnsi="黑体" w:cs="黑体"/>
        </w:rPr>
      </w:pPr>
      <w:r w:rsidRPr="00317BD8">
        <w:rPr>
          <w:rFonts w:ascii="黑体" w:eastAsia="黑体" w:hAnsi="黑体" w:cs="黑体" w:hint="eastAsia"/>
        </w:rPr>
        <w:t>基本要求</w:t>
      </w:r>
    </w:p>
    <w:p w14:paraId="2964AF60" w14:textId="77777777" w:rsidR="00BF1963" w:rsidRPr="00317BD8" w:rsidRDefault="00BF1963">
      <w:pPr>
        <w:pStyle w:val="a"/>
        <w:numPr>
          <w:ilvl w:val="0"/>
          <w:numId w:val="0"/>
        </w:numPr>
        <w:rPr>
          <w:rFonts w:ascii="黑体" w:eastAsia="黑体" w:hAnsi="黑体" w:cs="黑体"/>
        </w:rPr>
      </w:pPr>
    </w:p>
    <w:p w14:paraId="16A8ADA0" w14:textId="77777777" w:rsidR="00BF1963" w:rsidRPr="00317BD8" w:rsidRDefault="00250D17">
      <w:pPr>
        <w:pStyle w:val="a"/>
        <w:numPr>
          <w:ilvl w:val="1"/>
          <w:numId w:val="3"/>
        </w:numPr>
        <w:rPr>
          <w:rFonts w:asciiTheme="minorEastAsia" w:hAnsiTheme="minorEastAsia" w:cstheme="minorEastAsia"/>
        </w:rPr>
      </w:pPr>
      <w:r w:rsidRPr="00317BD8">
        <w:rPr>
          <w:rFonts w:asciiTheme="minorEastAsia" w:hAnsiTheme="minorEastAsia" w:cstheme="minorEastAsia" w:hint="eastAsia"/>
        </w:rPr>
        <w:t>刮板机再制造应符合国家有关资源利用、环境保护法律法规及相关国家标准规定。</w:t>
      </w:r>
    </w:p>
    <w:p w14:paraId="60198BFE" w14:textId="77777777" w:rsidR="00BF1963" w:rsidRPr="00317BD8" w:rsidRDefault="00250D17">
      <w:pPr>
        <w:pStyle w:val="a"/>
        <w:numPr>
          <w:ilvl w:val="1"/>
          <w:numId w:val="3"/>
        </w:numPr>
        <w:rPr>
          <w:rFonts w:asciiTheme="minorEastAsia" w:hAnsiTheme="minorEastAsia" w:cstheme="minorEastAsia"/>
        </w:rPr>
      </w:pPr>
      <w:r w:rsidRPr="00317BD8">
        <w:rPr>
          <w:rFonts w:asciiTheme="minorEastAsia" w:hAnsiTheme="minorEastAsia" w:cstheme="minorEastAsia" w:hint="eastAsia"/>
        </w:rPr>
        <w:t>刮板机再制造应在必要的再制造工艺技术条件的基础上进行。</w:t>
      </w:r>
    </w:p>
    <w:p w14:paraId="4F1C8A4E" w14:textId="77777777" w:rsidR="00BF1963" w:rsidRPr="00317BD8" w:rsidRDefault="00250D17">
      <w:pPr>
        <w:pStyle w:val="a"/>
        <w:numPr>
          <w:ilvl w:val="1"/>
          <w:numId w:val="3"/>
        </w:numPr>
        <w:rPr>
          <w:rFonts w:asciiTheme="minorEastAsia" w:hAnsiTheme="minorEastAsia" w:cstheme="minorEastAsia"/>
        </w:rPr>
      </w:pPr>
      <w:r w:rsidRPr="00317BD8">
        <w:rPr>
          <w:rFonts w:asciiTheme="minorEastAsia" w:hAnsiTheme="minorEastAsia" w:cstheme="minorEastAsia" w:hint="eastAsia"/>
        </w:rPr>
        <w:t>再制造刮板机的质量特性和安全性能应不低于原型新品。</w:t>
      </w:r>
    </w:p>
    <w:p w14:paraId="14F2B5EB" w14:textId="77777777" w:rsidR="00BF1963" w:rsidRPr="00317BD8" w:rsidRDefault="00250D17">
      <w:pPr>
        <w:pStyle w:val="a"/>
        <w:numPr>
          <w:ilvl w:val="1"/>
          <w:numId w:val="3"/>
        </w:numPr>
        <w:rPr>
          <w:rFonts w:asciiTheme="minorEastAsia" w:hAnsiTheme="minorEastAsia" w:cstheme="minorEastAsia"/>
        </w:rPr>
      </w:pPr>
      <w:r w:rsidRPr="00317BD8">
        <w:rPr>
          <w:rFonts w:asciiTheme="minorEastAsia" w:hAnsiTheme="minorEastAsia" w:cstheme="minorEastAsia" w:hint="eastAsia"/>
        </w:rPr>
        <w:t>再制造商和用户之间应对刮板机的再制造内容进行充分协商。</w:t>
      </w:r>
    </w:p>
    <w:p w14:paraId="3E39BB35" w14:textId="77777777" w:rsidR="00BF1963" w:rsidRPr="00317BD8" w:rsidRDefault="00250D17">
      <w:pPr>
        <w:pStyle w:val="a"/>
        <w:numPr>
          <w:ilvl w:val="1"/>
          <w:numId w:val="3"/>
        </w:numPr>
        <w:rPr>
          <w:rFonts w:asciiTheme="minorEastAsia" w:hAnsiTheme="minorEastAsia" w:cstheme="minorEastAsia"/>
        </w:rPr>
      </w:pPr>
      <w:r w:rsidRPr="00317BD8">
        <w:rPr>
          <w:rFonts w:asciiTheme="minorEastAsia" w:hAnsiTheme="minorEastAsia" w:cstheme="minorEastAsia" w:hint="eastAsia"/>
        </w:rPr>
        <w:t>再制造商应从用户或制造商处获取再制造所必要的信息和资料，包括产品使用说明书、随机图纸和使用过程资料等，了解过往使用问题或改造信息等。</w:t>
      </w:r>
    </w:p>
    <w:p w14:paraId="47CFBAFE" w14:textId="77777777" w:rsidR="00BF1963" w:rsidRPr="00317BD8" w:rsidRDefault="00250D17">
      <w:pPr>
        <w:pStyle w:val="a"/>
        <w:numPr>
          <w:ilvl w:val="1"/>
          <w:numId w:val="3"/>
        </w:numPr>
        <w:rPr>
          <w:rFonts w:asciiTheme="minorEastAsia" w:hAnsiTheme="minorEastAsia" w:cstheme="minorEastAsia"/>
        </w:rPr>
      </w:pPr>
      <w:r w:rsidRPr="00317BD8">
        <w:rPr>
          <w:rFonts w:asciiTheme="minorEastAsia" w:hAnsiTheme="minorEastAsia" w:cstheme="minorEastAsia" w:hint="eastAsia"/>
        </w:rPr>
        <w:t>刮板机再制造过程中涉及矿用安全标准的更新件应取得矿用安全产品标志证书,且证书在有效期内。</w:t>
      </w:r>
    </w:p>
    <w:p w14:paraId="07457AD8" w14:textId="77777777" w:rsidR="00BF1963" w:rsidRPr="00317BD8" w:rsidRDefault="00250D17">
      <w:pPr>
        <w:pStyle w:val="a"/>
        <w:numPr>
          <w:ilvl w:val="1"/>
          <w:numId w:val="3"/>
        </w:numPr>
        <w:rPr>
          <w:rFonts w:asciiTheme="minorEastAsia" w:hAnsiTheme="minorEastAsia" w:cstheme="minorEastAsia"/>
        </w:rPr>
      </w:pPr>
      <w:r w:rsidRPr="00317BD8">
        <w:rPr>
          <w:rFonts w:asciiTheme="minorEastAsia" w:hAnsiTheme="minorEastAsia" w:cstheme="minorEastAsia" w:hint="eastAsia"/>
        </w:rPr>
        <w:t>刮板机再制造、安装、运输过程应在具有充分安全保障条件下进行。</w:t>
      </w:r>
    </w:p>
    <w:p w14:paraId="0F865869" w14:textId="77777777" w:rsidR="00BF1963" w:rsidRPr="00317BD8" w:rsidRDefault="00BF1963">
      <w:pPr>
        <w:pStyle w:val="a"/>
        <w:numPr>
          <w:ilvl w:val="0"/>
          <w:numId w:val="0"/>
        </w:numPr>
        <w:rPr>
          <w:rFonts w:asciiTheme="minorEastAsia" w:hAnsiTheme="minorEastAsia" w:cstheme="minorEastAsia"/>
        </w:rPr>
      </w:pPr>
    </w:p>
    <w:p w14:paraId="2FFA6081" w14:textId="77777777" w:rsidR="00BF1963" w:rsidRPr="00317BD8" w:rsidRDefault="00250D17" w:rsidP="00BE6CF3">
      <w:pPr>
        <w:pStyle w:val="a"/>
        <w:numPr>
          <w:ilvl w:val="0"/>
          <w:numId w:val="0"/>
        </w:numPr>
      </w:pPr>
      <w:r w:rsidRPr="00317BD8">
        <w:rPr>
          <w:rFonts w:ascii="黑体" w:eastAsia="黑体" w:hAnsi="黑体" w:cs="黑体" w:hint="eastAsia"/>
        </w:rPr>
        <w:t>拆解、清洗、检测与分类</w:t>
      </w:r>
    </w:p>
    <w:p w14:paraId="3354FCB8" w14:textId="77777777" w:rsidR="00BF1963" w:rsidRPr="00317BD8" w:rsidRDefault="00250D17">
      <w:pPr>
        <w:pStyle w:val="a"/>
        <w:numPr>
          <w:ilvl w:val="1"/>
          <w:numId w:val="3"/>
        </w:numPr>
        <w:rPr>
          <w:rFonts w:ascii="黑体" w:eastAsia="黑体" w:hAnsi="黑体" w:cs="黑体"/>
        </w:rPr>
      </w:pPr>
      <w:r w:rsidRPr="00317BD8">
        <w:rPr>
          <w:rFonts w:ascii="黑体" w:eastAsia="黑体" w:hAnsi="黑体" w:cs="黑体" w:hint="eastAsia"/>
        </w:rPr>
        <w:t>拆解</w:t>
      </w:r>
    </w:p>
    <w:p w14:paraId="5E700019" w14:textId="77777777" w:rsidR="00BF1963" w:rsidRPr="00317BD8" w:rsidRDefault="00BF1963">
      <w:pPr>
        <w:pStyle w:val="a"/>
        <w:numPr>
          <w:ilvl w:val="0"/>
          <w:numId w:val="0"/>
        </w:numPr>
        <w:rPr>
          <w:rFonts w:ascii="黑体" w:eastAsia="黑体" w:hAnsi="黑体" w:cs="黑体"/>
        </w:rPr>
      </w:pPr>
    </w:p>
    <w:p w14:paraId="09C0B672" w14:textId="77777777" w:rsidR="00BF1963" w:rsidRPr="00317BD8" w:rsidRDefault="00250D17">
      <w:pPr>
        <w:numPr>
          <w:ilvl w:val="2"/>
          <w:numId w:val="3"/>
        </w:numPr>
        <w:rPr>
          <w:rFonts w:asciiTheme="minorEastAsia" w:hAnsiTheme="minorEastAsia" w:cstheme="minorEastAsia"/>
          <w:szCs w:val="21"/>
        </w:rPr>
      </w:pPr>
      <w:r w:rsidRPr="00317BD8">
        <w:rPr>
          <w:rFonts w:asciiTheme="minorEastAsia" w:hAnsiTheme="minorEastAsia" w:cstheme="minorEastAsia" w:hint="eastAsia"/>
          <w:szCs w:val="21"/>
        </w:rPr>
        <w:t>对刮板机上的煤粉、矸石等污染物进行全面清理。</w:t>
      </w:r>
    </w:p>
    <w:p w14:paraId="4123F474" w14:textId="77777777" w:rsidR="00BF1963" w:rsidRPr="00317BD8" w:rsidRDefault="00250D17">
      <w:pPr>
        <w:numPr>
          <w:ilvl w:val="2"/>
          <w:numId w:val="3"/>
        </w:numPr>
        <w:rPr>
          <w:rFonts w:asciiTheme="minorEastAsia" w:hAnsiTheme="minorEastAsia" w:cstheme="minorEastAsia"/>
          <w:szCs w:val="21"/>
        </w:rPr>
      </w:pPr>
      <w:r w:rsidRPr="00317BD8">
        <w:rPr>
          <w:rFonts w:ascii="宋体" w:eastAsia="宋体" w:hAnsi="宋体" w:cs="宋体" w:hint="eastAsia"/>
        </w:rPr>
        <w:t>将刮板机拆解为链轮轴组、机头架、机尾架、紧链器、减速器、电动机、液力偶合器（限矩器）、</w:t>
      </w:r>
      <w:r w:rsidRPr="00317BD8">
        <w:rPr>
          <w:rFonts w:ascii="宋体" w:eastAsia="宋体" w:hAnsi="宋体" w:cs="宋体" w:hint="eastAsia"/>
        </w:rPr>
        <w:lastRenderedPageBreak/>
        <w:t>护板、</w:t>
      </w:r>
      <w:r w:rsidRPr="00317BD8">
        <w:rPr>
          <w:rFonts w:ascii="宋体" w:eastAsia="宋体" w:hAnsi="宋体" w:cs="宋体" w:hint="eastAsia"/>
          <w:spacing w:val="-5"/>
        </w:rPr>
        <w:t>分链器、刮板链、过渡槽、中部槽、液压件等部件或零件</w:t>
      </w:r>
      <w:r w:rsidRPr="00317BD8">
        <w:rPr>
          <w:rFonts w:asciiTheme="minorEastAsia" w:hAnsiTheme="minorEastAsia" w:cstheme="minorEastAsia" w:hint="eastAsia"/>
          <w:szCs w:val="21"/>
        </w:rPr>
        <w:t>。</w:t>
      </w:r>
    </w:p>
    <w:p w14:paraId="1B65D318" w14:textId="77777777" w:rsidR="00BF1963" w:rsidRPr="00317BD8" w:rsidRDefault="00250D17">
      <w:pPr>
        <w:numPr>
          <w:ilvl w:val="2"/>
          <w:numId w:val="3"/>
        </w:numPr>
        <w:rPr>
          <w:rFonts w:asciiTheme="minorEastAsia" w:hAnsiTheme="minorEastAsia" w:cstheme="minorEastAsia"/>
          <w:szCs w:val="21"/>
        </w:rPr>
      </w:pPr>
      <w:r w:rsidRPr="00317BD8">
        <w:rPr>
          <w:rFonts w:ascii="宋体" w:eastAsia="宋体" w:hAnsi="宋体" w:cs="宋体" w:hint="eastAsia"/>
        </w:rPr>
        <w:t>拆解部件为零件。</w:t>
      </w:r>
    </w:p>
    <w:p w14:paraId="2C60081A"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精度要求比较高的零件应放入专用的工位器具内，以备清洗。</w:t>
      </w:r>
    </w:p>
    <w:p w14:paraId="7B2392C0" w14:textId="77777777" w:rsidR="00BF1963" w:rsidRPr="00317BD8" w:rsidRDefault="00BF1963">
      <w:pPr>
        <w:rPr>
          <w:rFonts w:asciiTheme="minorEastAsia" w:hAnsiTheme="minorEastAsia" w:cstheme="minorEastAsia"/>
          <w:szCs w:val="21"/>
        </w:rPr>
      </w:pPr>
    </w:p>
    <w:p w14:paraId="1EC1D0A1" w14:textId="77777777" w:rsidR="00BF1963" w:rsidRPr="00317BD8" w:rsidRDefault="00250D17">
      <w:pPr>
        <w:pStyle w:val="a"/>
        <w:numPr>
          <w:ilvl w:val="1"/>
          <w:numId w:val="3"/>
        </w:numPr>
        <w:rPr>
          <w:rFonts w:ascii="黑体" w:eastAsia="黑体" w:hAnsi="黑体" w:cs="黑体"/>
        </w:rPr>
      </w:pPr>
      <w:r w:rsidRPr="00317BD8">
        <w:rPr>
          <w:rFonts w:ascii="黑体" w:eastAsia="黑体" w:hAnsi="黑体" w:cs="黑体" w:hint="eastAsia"/>
        </w:rPr>
        <w:t>清洗</w:t>
      </w:r>
    </w:p>
    <w:p w14:paraId="0C6D7427" w14:textId="77777777" w:rsidR="00BF1963" w:rsidRPr="00317BD8" w:rsidRDefault="00BF1963">
      <w:pPr>
        <w:pStyle w:val="a"/>
        <w:numPr>
          <w:ilvl w:val="0"/>
          <w:numId w:val="0"/>
        </w:numPr>
        <w:rPr>
          <w:rFonts w:ascii="黑体" w:eastAsia="黑体" w:hAnsi="黑体" w:cs="黑体"/>
        </w:rPr>
      </w:pPr>
    </w:p>
    <w:p w14:paraId="5E0DB077" w14:textId="77777777" w:rsidR="00BF1963" w:rsidRPr="00317BD8" w:rsidRDefault="00250D17">
      <w:pPr>
        <w:numPr>
          <w:ilvl w:val="2"/>
          <w:numId w:val="3"/>
        </w:numPr>
        <w:rPr>
          <w:rFonts w:ascii="宋体" w:hAnsi="Times New Roman" w:cs="Times New Roman"/>
        </w:rPr>
      </w:pPr>
      <w:r w:rsidRPr="00317BD8">
        <w:rPr>
          <w:rFonts w:ascii="宋体" w:hAnsi="Times New Roman" w:cs="Times New Roman" w:hint="eastAsia"/>
        </w:rPr>
        <w:t>对结构件表面进行除锈，除锈等级应达到Sa2.5级。</w:t>
      </w:r>
    </w:p>
    <w:p w14:paraId="4E37BD31" w14:textId="77777777" w:rsidR="00BF1963" w:rsidRPr="00317BD8" w:rsidRDefault="00250D17">
      <w:pPr>
        <w:numPr>
          <w:ilvl w:val="2"/>
          <w:numId w:val="3"/>
        </w:numPr>
        <w:rPr>
          <w:rFonts w:asciiTheme="minorEastAsia" w:hAnsiTheme="minorEastAsia" w:cstheme="minorEastAsia"/>
          <w:szCs w:val="21"/>
        </w:rPr>
      </w:pPr>
      <w:r w:rsidRPr="00317BD8">
        <w:rPr>
          <w:rFonts w:ascii="宋体" w:hAnsi="Times New Roman" w:cs="Times New Roman"/>
        </w:rPr>
        <w:t>拆解后的零件经清洗、干燥后，应做防锈处理，精密零件需加包装，以免碰撞划伤。</w:t>
      </w:r>
    </w:p>
    <w:p w14:paraId="4B61D339" w14:textId="77777777" w:rsidR="00BF1963" w:rsidRPr="00317BD8" w:rsidRDefault="00BF1963">
      <w:pPr>
        <w:rPr>
          <w:rFonts w:asciiTheme="minorEastAsia" w:hAnsiTheme="minorEastAsia" w:cstheme="minorEastAsia"/>
          <w:szCs w:val="21"/>
        </w:rPr>
      </w:pPr>
    </w:p>
    <w:p w14:paraId="02F1040F" w14:textId="77777777" w:rsidR="00BF1963" w:rsidRPr="00317BD8" w:rsidRDefault="00250D17">
      <w:pPr>
        <w:numPr>
          <w:ilvl w:val="1"/>
          <w:numId w:val="3"/>
        </w:numPr>
        <w:rPr>
          <w:rFonts w:ascii="黑体" w:eastAsia="黑体" w:hAnsi="黑体" w:cs="黑体"/>
          <w:szCs w:val="21"/>
        </w:rPr>
      </w:pPr>
      <w:r w:rsidRPr="00317BD8">
        <w:rPr>
          <w:rFonts w:ascii="黑体" w:eastAsia="黑体" w:hAnsi="黑体" w:cs="黑体" w:hint="eastAsia"/>
          <w:szCs w:val="21"/>
        </w:rPr>
        <w:t>检测与分类</w:t>
      </w:r>
    </w:p>
    <w:p w14:paraId="73355876" w14:textId="77777777" w:rsidR="00BF1963" w:rsidRPr="00317BD8" w:rsidRDefault="00BF1963">
      <w:pPr>
        <w:rPr>
          <w:rFonts w:ascii="黑体" w:eastAsia="黑体" w:hAnsi="黑体" w:cs="黑体"/>
          <w:szCs w:val="21"/>
        </w:rPr>
      </w:pPr>
    </w:p>
    <w:p w14:paraId="608F9CBB"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清洗后的零部件应进行检测与分类，一般分为直接使用件、可再制造件和弃用件三类。</w:t>
      </w:r>
    </w:p>
    <w:p w14:paraId="007C9811"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检测后的零部件应做相应的检测记录并分类存放。</w:t>
      </w:r>
    </w:p>
    <w:p w14:paraId="46E26764" w14:textId="77777777" w:rsidR="00BF1963" w:rsidRPr="00317BD8" w:rsidRDefault="00250D17">
      <w:pPr>
        <w:pStyle w:val="a1"/>
        <w:numPr>
          <w:ilvl w:val="2"/>
          <w:numId w:val="3"/>
        </w:numPr>
        <w:spacing w:beforeLines="0" w:afterLines="0"/>
        <w:rPr>
          <w:rFonts w:ascii="宋体"/>
        </w:rPr>
      </w:pPr>
      <w:r w:rsidRPr="00317BD8">
        <w:rPr>
          <w:rFonts w:ascii="宋体" w:eastAsia="宋体" w:hAnsi="宋体" w:cs="宋体" w:hint="eastAsia"/>
        </w:rPr>
        <w:t>直接使用件、可再制造件存放时应采取必要的防护措施，弃用件存放和处置应符合国家相关法律法规和标准规定。</w:t>
      </w:r>
    </w:p>
    <w:p w14:paraId="76A54F67"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直接使用件满足原型新品的质量保证要求；可再制造件再制造后满足原型新品性能；弃用件更换新件后满足原型新品性能。</w:t>
      </w:r>
    </w:p>
    <w:p w14:paraId="3EE4132F" w14:textId="77777777" w:rsidR="00BF1963" w:rsidRPr="00317BD8" w:rsidRDefault="00BF1963">
      <w:pPr>
        <w:rPr>
          <w:rFonts w:ascii="黑体" w:eastAsia="黑体" w:hAnsi="黑体" w:cs="黑体"/>
          <w:szCs w:val="21"/>
        </w:rPr>
      </w:pPr>
    </w:p>
    <w:p w14:paraId="4EC0DA26" w14:textId="77777777" w:rsidR="00BF1963" w:rsidRPr="00317BD8" w:rsidRDefault="00BF1963">
      <w:pPr>
        <w:pStyle w:val="ad"/>
      </w:pPr>
    </w:p>
    <w:p w14:paraId="577DC91B" w14:textId="77777777" w:rsidR="00BF1963" w:rsidRPr="00317BD8" w:rsidRDefault="00250D17">
      <w:pPr>
        <w:numPr>
          <w:ilvl w:val="0"/>
          <w:numId w:val="3"/>
        </w:numPr>
        <w:rPr>
          <w:rFonts w:ascii="黑体" w:eastAsia="黑体" w:hAnsi="黑体" w:cs="黑体"/>
          <w:szCs w:val="21"/>
        </w:rPr>
      </w:pPr>
      <w:r w:rsidRPr="00317BD8">
        <w:rPr>
          <w:rFonts w:ascii="黑体" w:eastAsia="黑体" w:hAnsi="黑体" w:cs="黑体" w:hint="eastAsia"/>
          <w:szCs w:val="21"/>
        </w:rPr>
        <w:t>再制造工艺要求</w:t>
      </w:r>
    </w:p>
    <w:p w14:paraId="0F9900D4" w14:textId="77777777" w:rsidR="00BF1963" w:rsidRPr="00317BD8" w:rsidRDefault="00BF1963">
      <w:pPr>
        <w:rPr>
          <w:rFonts w:asciiTheme="minorEastAsia" w:hAnsiTheme="minorEastAsia" w:cstheme="minorEastAsia"/>
          <w:szCs w:val="21"/>
        </w:rPr>
      </w:pPr>
    </w:p>
    <w:p w14:paraId="7BC18DB1" w14:textId="77777777" w:rsidR="00BF1963" w:rsidRPr="00317BD8" w:rsidRDefault="00250D17">
      <w:pPr>
        <w:numPr>
          <w:ilvl w:val="1"/>
          <w:numId w:val="3"/>
        </w:numPr>
        <w:rPr>
          <w:rFonts w:ascii="黑体" w:eastAsia="黑体" w:hAnsi="黑体" w:cs="黑体"/>
          <w:szCs w:val="21"/>
        </w:rPr>
      </w:pPr>
      <w:r w:rsidRPr="00317BD8">
        <w:rPr>
          <w:rFonts w:ascii="黑体" w:eastAsia="黑体" w:hAnsi="黑体" w:cs="黑体" w:hint="eastAsia"/>
          <w:szCs w:val="21"/>
        </w:rPr>
        <w:t>链轮轴组</w:t>
      </w:r>
    </w:p>
    <w:p w14:paraId="4B65C6D8" w14:textId="77777777" w:rsidR="00BF1963" w:rsidRPr="00317BD8" w:rsidRDefault="00BF1963">
      <w:pPr>
        <w:rPr>
          <w:rFonts w:ascii="黑体" w:eastAsia="黑体" w:hAnsi="黑体" w:cs="黑体"/>
          <w:szCs w:val="21"/>
        </w:rPr>
      </w:pPr>
    </w:p>
    <w:p w14:paraId="1A8A3CF0" w14:textId="77777777" w:rsidR="00BF1963" w:rsidRPr="00317BD8" w:rsidRDefault="00250D17">
      <w:pPr>
        <w:numPr>
          <w:ilvl w:val="2"/>
          <w:numId w:val="3"/>
        </w:numPr>
        <w:rPr>
          <w:rFonts w:asciiTheme="minorEastAsia" w:hAnsiTheme="minorEastAsia" w:cstheme="minorEastAsia"/>
          <w:szCs w:val="21"/>
        </w:rPr>
      </w:pPr>
      <w:r w:rsidRPr="00317BD8">
        <w:rPr>
          <w:rFonts w:asciiTheme="minorEastAsia" w:hAnsiTheme="minorEastAsia" w:cstheme="minorEastAsia" w:hint="eastAsia"/>
          <w:szCs w:val="21"/>
        </w:rPr>
        <w:t>链轮</w:t>
      </w:r>
    </w:p>
    <w:p w14:paraId="44508F51" w14:textId="77777777" w:rsidR="00BF1963" w:rsidRPr="00317BD8" w:rsidRDefault="00250D17">
      <w:pPr>
        <w:pStyle w:val="ad"/>
        <w:ind w:left="425"/>
      </w:pPr>
      <w:r w:rsidRPr="00317BD8">
        <w:t>链轮内花键磨损不</w:t>
      </w:r>
      <w:r w:rsidRPr="00317BD8">
        <w:rPr>
          <w:rFonts w:hint="eastAsia"/>
        </w:rPr>
        <w:t>大于</w:t>
      </w:r>
      <w:r w:rsidRPr="00317BD8">
        <w:t>0.12mm，内表面无拉伤，键槽无变形，链窝单侧磨损不</w:t>
      </w:r>
      <w:r w:rsidRPr="00317BD8">
        <w:rPr>
          <w:rFonts w:hint="eastAsia"/>
        </w:rPr>
        <w:t>大于</w:t>
      </w:r>
      <w:r w:rsidRPr="00317BD8">
        <w:t>节距的3%，可</w:t>
      </w:r>
      <w:r w:rsidRPr="00317BD8">
        <w:rPr>
          <w:rFonts w:hint="eastAsia"/>
        </w:rPr>
        <w:t>作为</w:t>
      </w:r>
      <w:r w:rsidRPr="00317BD8">
        <w:t>直接使用件；链窝单侧磨损</w:t>
      </w:r>
      <w:r w:rsidRPr="00317BD8">
        <w:rPr>
          <w:rFonts w:hint="eastAsia"/>
        </w:rPr>
        <w:t>大于</w:t>
      </w:r>
      <w:r w:rsidRPr="00317BD8">
        <w:t>节距的3%不足15%</w:t>
      </w:r>
      <w:r w:rsidRPr="00317BD8">
        <w:rPr>
          <w:rFonts w:hint="eastAsia"/>
        </w:rPr>
        <w:t>时</w:t>
      </w:r>
      <w:r w:rsidRPr="00317BD8">
        <w:t>，可</w:t>
      </w:r>
      <w:r w:rsidRPr="00317BD8">
        <w:rPr>
          <w:rFonts w:hint="eastAsia"/>
        </w:rPr>
        <w:t>作为可</w:t>
      </w:r>
      <w:r w:rsidRPr="00317BD8">
        <w:t>再制造</w:t>
      </w:r>
      <w:r w:rsidRPr="00317BD8">
        <w:rPr>
          <w:rFonts w:hint="eastAsia"/>
        </w:rPr>
        <w:t>件；</w:t>
      </w:r>
      <w:r w:rsidRPr="00317BD8">
        <w:t>当</w:t>
      </w:r>
      <w:r w:rsidRPr="00317BD8">
        <w:rPr>
          <w:rFonts w:hint="eastAsia"/>
        </w:rPr>
        <w:t>出现断齿、裂纹或</w:t>
      </w:r>
      <w:r w:rsidRPr="00317BD8">
        <w:t>缺陷超出再制造工艺范围</w:t>
      </w:r>
      <w:r w:rsidRPr="00317BD8">
        <w:rPr>
          <w:rFonts w:hint="eastAsia"/>
        </w:rPr>
        <w:t>时</w:t>
      </w:r>
      <w:r w:rsidRPr="00317BD8">
        <w:t>，</w:t>
      </w:r>
      <w:r w:rsidRPr="00317BD8">
        <w:rPr>
          <w:rFonts w:hint="eastAsia"/>
        </w:rPr>
        <w:t>可作为</w:t>
      </w:r>
      <w:r w:rsidRPr="00317BD8">
        <w:t>弃用</w:t>
      </w:r>
      <w:r w:rsidRPr="00317BD8">
        <w:rPr>
          <w:rFonts w:hint="eastAsia"/>
        </w:rPr>
        <w:t>件</w:t>
      </w:r>
      <w:r w:rsidRPr="00317BD8">
        <w:t>。</w:t>
      </w:r>
    </w:p>
    <w:p w14:paraId="6196DEE1" w14:textId="77777777" w:rsidR="00BF1963" w:rsidRPr="00317BD8" w:rsidRDefault="00BF1963">
      <w:pPr>
        <w:pStyle w:val="ad"/>
        <w:ind w:left="425"/>
      </w:pPr>
    </w:p>
    <w:p w14:paraId="73F15060" w14:textId="77777777" w:rsidR="00BF1963" w:rsidRPr="00317BD8" w:rsidRDefault="00250D17">
      <w:pPr>
        <w:numPr>
          <w:ilvl w:val="2"/>
          <w:numId w:val="3"/>
        </w:numPr>
        <w:rPr>
          <w:rFonts w:asciiTheme="minorEastAsia" w:hAnsiTheme="minorEastAsia" w:cstheme="minorEastAsia"/>
          <w:szCs w:val="21"/>
        </w:rPr>
      </w:pPr>
      <w:r w:rsidRPr="00317BD8">
        <w:rPr>
          <w:rFonts w:asciiTheme="minorEastAsia" w:hAnsiTheme="minorEastAsia" w:cstheme="minorEastAsia" w:hint="eastAsia"/>
          <w:szCs w:val="21"/>
        </w:rPr>
        <w:t>主传动</w:t>
      </w:r>
      <w:r w:rsidRPr="00317BD8">
        <w:rPr>
          <w:rFonts w:asciiTheme="minorEastAsia" w:hAnsiTheme="minorEastAsia" w:cstheme="minorEastAsia"/>
          <w:szCs w:val="21"/>
        </w:rPr>
        <w:t>轴</w:t>
      </w:r>
    </w:p>
    <w:p w14:paraId="0BA56FA2" w14:textId="77777777" w:rsidR="00BF1963" w:rsidRPr="00317BD8" w:rsidRDefault="00250D17">
      <w:pPr>
        <w:pStyle w:val="ad"/>
        <w:ind w:left="425"/>
      </w:pPr>
      <w:r w:rsidRPr="00317BD8">
        <w:t>表面无裂纹、锈蚀、拉伤</w:t>
      </w:r>
      <w:r w:rsidRPr="00317BD8">
        <w:rPr>
          <w:rFonts w:hint="eastAsia"/>
        </w:rPr>
        <w:t>、</w:t>
      </w:r>
      <w:r w:rsidRPr="00317BD8">
        <w:t>经探伤内部无缺陷，配合尺寸符合</w:t>
      </w:r>
      <w:r w:rsidRPr="00317BD8">
        <w:rPr>
          <w:rFonts w:hint="eastAsia"/>
        </w:rPr>
        <w:t>原型新品</w:t>
      </w:r>
      <w:r w:rsidRPr="00317BD8">
        <w:t>要求</w:t>
      </w:r>
      <w:r w:rsidRPr="00317BD8">
        <w:rPr>
          <w:rFonts w:hint="eastAsia"/>
        </w:rPr>
        <w:t>的</w:t>
      </w:r>
      <w:r w:rsidRPr="00317BD8">
        <w:t>，可</w:t>
      </w:r>
      <w:r w:rsidRPr="00317BD8">
        <w:rPr>
          <w:rFonts w:hint="eastAsia"/>
        </w:rPr>
        <w:t>作为</w:t>
      </w:r>
      <w:r w:rsidRPr="00317BD8">
        <w:t>直接使用件</w:t>
      </w:r>
      <w:r w:rsidRPr="00317BD8">
        <w:rPr>
          <w:rFonts w:hint="eastAsia"/>
        </w:rPr>
        <w:t>；</w:t>
      </w:r>
      <w:r w:rsidRPr="00317BD8">
        <w:t>表面无裂纹</w:t>
      </w:r>
      <w:r w:rsidRPr="00317BD8">
        <w:rPr>
          <w:rFonts w:hint="eastAsia"/>
        </w:rPr>
        <w:t>、锈蚀、拉伤</w:t>
      </w:r>
      <w:r w:rsidRPr="00317BD8">
        <w:t>、经探伤轴的内部无缺陷，轴颈圆度和圆柱度、磨损</w:t>
      </w:r>
      <w:r w:rsidRPr="00317BD8">
        <w:rPr>
          <w:rFonts w:hint="eastAsia"/>
        </w:rPr>
        <w:t>极限</w:t>
      </w:r>
      <w:r w:rsidRPr="00317BD8">
        <w:t>符合MT/T 1097中的有关规定，且</w:t>
      </w:r>
      <w:r w:rsidRPr="00317BD8">
        <w:rPr>
          <w:rFonts w:hint="eastAsia"/>
        </w:rPr>
        <w:t>不大于</w:t>
      </w:r>
      <w:r w:rsidRPr="00317BD8">
        <w:t>表1的要求，可</w:t>
      </w:r>
      <w:r w:rsidRPr="00317BD8">
        <w:rPr>
          <w:rFonts w:hint="eastAsia"/>
        </w:rPr>
        <w:t>作为可</w:t>
      </w:r>
      <w:r w:rsidRPr="00317BD8">
        <w:t>再制造</w:t>
      </w:r>
      <w:r w:rsidRPr="00317BD8">
        <w:rPr>
          <w:rFonts w:hint="eastAsia"/>
        </w:rPr>
        <w:t>件</w:t>
      </w:r>
      <w:r w:rsidRPr="00317BD8">
        <w:t>。当缺陷超出再制造工艺范围</w:t>
      </w:r>
      <w:r w:rsidRPr="00317BD8">
        <w:rPr>
          <w:rFonts w:hint="eastAsia"/>
        </w:rPr>
        <w:t>时</w:t>
      </w:r>
      <w:r w:rsidRPr="00317BD8">
        <w:t>，</w:t>
      </w:r>
      <w:r w:rsidRPr="00317BD8">
        <w:rPr>
          <w:rFonts w:hint="eastAsia"/>
        </w:rPr>
        <w:t>可作为</w:t>
      </w:r>
      <w:r w:rsidRPr="00317BD8">
        <w:t>弃用</w:t>
      </w:r>
      <w:r w:rsidRPr="00317BD8">
        <w:rPr>
          <w:rFonts w:hint="eastAsia"/>
        </w:rPr>
        <w:t>件</w:t>
      </w:r>
      <w:r w:rsidRPr="00317BD8">
        <w:t>。</w:t>
      </w:r>
    </w:p>
    <w:p w14:paraId="64B85DF6" w14:textId="77777777" w:rsidR="00BF1963" w:rsidRPr="00317BD8" w:rsidRDefault="00250D17">
      <w:pPr>
        <w:pStyle w:val="ad"/>
        <w:ind w:left="425"/>
        <w:rPr>
          <w:rFonts w:hAnsi="宋体" w:cs="宋体"/>
        </w:rPr>
      </w:pPr>
      <w:r w:rsidRPr="00317BD8">
        <w:rPr>
          <w:rFonts w:hAnsi="宋体" w:cs="宋体"/>
        </w:rPr>
        <w:t>轴颈允许磨损程度见表1。</w:t>
      </w:r>
    </w:p>
    <w:p w14:paraId="0FF9847B" w14:textId="77777777" w:rsidR="00BF1963" w:rsidRPr="00317BD8" w:rsidRDefault="00250D17">
      <w:pPr>
        <w:pStyle w:val="a6"/>
        <w:tabs>
          <w:tab w:val="left" w:pos="523"/>
        </w:tabs>
        <w:spacing w:before="71" w:line="360" w:lineRule="auto"/>
        <w:ind w:right="260"/>
        <w:jc w:val="center"/>
        <w:rPr>
          <w:rFonts w:ascii="黑体" w:eastAsia="黑体"/>
          <w:spacing w:val="-5"/>
          <w:sz w:val="21"/>
          <w:szCs w:val="21"/>
        </w:rPr>
      </w:pPr>
      <w:r w:rsidRPr="00317BD8">
        <w:rPr>
          <w:rFonts w:ascii="黑体" w:eastAsia="黑体" w:hint="eastAsia"/>
          <w:sz w:val="21"/>
          <w:szCs w:val="21"/>
        </w:rPr>
        <w:t>表1</w:t>
      </w:r>
      <w:r w:rsidRPr="00317BD8">
        <w:rPr>
          <w:rFonts w:ascii="黑体" w:eastAsia="黑体" w:hint="eastAsia"/>
          <w:sz w:val="21"/>
          <w:szCs w:val="21"/>
        </w:rPr>
        <w:tab/>
        <w:t>轴颈磨损</w:t>
      </w:r>
      <w:r w:rsidRPr="00317BD8">
        <w:rPr>
          <w:rFonts w:ascii="黑体" w:eastAsia="黑体" w:hint="eastAsia"/>
          <w:spacing w:val="-5"/>
          <w:sz w:val="21"/>
          <w:szCs w:val="21"/>
        </w:rPr>
        <w:t>程度</w:t>
      </w:r>
    </w:p>
    <w:tbl>
      <w:tblPr>
        <w:tblW w:w="9498"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01"/>
        <w:gridCol w:w="1434"/>
        <w:gridCol w:w="1260"/>
        <w:gridCol w:w="1275"/>
        <w:gridCol w:w="1276"/>
        <w:gridCol w:w="1276"/>
        <w:gridCol w:w="1276"/>
      </w:tblGrid>
      <w:tr w:rsidR="00865D18" w:rsidRPr="00317BD8" w14:paraId="75E30057" w14:textId="77777777">
        <w:tc>
          <w:tcPr>
            <w:tcW w:w="1701" w:type="dxa"/>
            <w:vMerge w:val="restart"/>
            <w:tcBorders>
              <w:top w:val="single" w:sz="8" w:space="0" w:color="auto"/>
            </w:tcBorders>
            <w:vAlign w:val="center"/>
          </w:tcPr>
          <w:p w14:paraId="725C1B8D" w14:textId="77777777" w:rsidR="00BF1963" w:rsidRPr="00317BD8" w:rsidRDefault="00250D17">
            <w:pPr>
              <w:jc w:val="center"/>
              <w:rPr>
                <w:rFonts w:ascii="宋体"/>
                <w:sz w:val="18"/>
                <w:szCs w:val="18"/>
              </w:rPr>
            </w:pPr>
            <w:r w:rsidRPr="00317BD8">
              <w:rPr>
                <w:sz w:val="18"/>
                <w:szCs w:val="18"/>
              </w:rPr>
              <w:t>项</w:t>
            </w:r>
            <w:r w:rsidRPr="00317BD8">
              <w:rPr>
                <w:rFonts w:hint="eastAsia"/>
                <w:sz w:val="18"/>
                <w:szCs w:val="18"/>
              </w:rPr>
              <w:t xml:space="preserve"> </w:t>
            </w:r>
            <w:r w:rsidRPr="00317BD8">
              <w:rPr>
                <w:sz w:val="18"/>
                <w:szCs w:val="18"/>
              </w:rPr>
              <w:t>目</w:t>
            </w:r>
          </w:p>
        </w:tc>
        <w:tc>
          <w:tcPr>
            <w:tcW w:w="7797" w:type="dxa"/>
            <w:gridSpan w:val="6"/>
            <w:tcBorders>
              <w:top w:val="single" w:sz="8" w:space="0" w:color="auto"/>
              <w:bottom w:val="single" w:sz="8" w:space="0" w:color="auto"/>
            </w:tcBorders>
          </w:tcPr>
          <w:p w14:paraId="5299EB41" w14:textId="77777777" w:rsidR="00BF1963" w:rsidRPr="00317BD8" w:rsidRDefault="00250D17">
            <w:pPr>
              <w:jc w:val="center"/>
              <w:rPr>
                <w:rFonts w:ascii="宋体"/>
                <w:sz w:val="18"/>
                <w:szCs w:val="18"/>
              </w:rPr>
            </w:pPr>
            <w:r w:rsidRPr="00317BD8">
              <w:rPr>
                <w:sz w:val="18"/>
                <w:szCs w:val="18"/>
              </w:rPr>
              <w:t>轴颈直径，</w:t>
            </w:r>
            <w:r w:rsidRPr="00317BD8">
              <w:rPr>
                <w:sz w:val="18"/>
                <w:szCs w:val="18"/>
              </w:rPr>
              <w:t>mm</w:t>
            </w:r>
          </w:p>
        </w:tc>
      </w:tr>
      <w:tr w:rsidR="00865D18" w:rsidRPr="00317BD8" w14:paraId="5F622FAF" w14:textId="77777777">
        <w:tc>
          <w:tcPr>
            <w:tcW w:w="1701" w:type="dxa"/>
            <w:vMerge/>
            <w:tcBorders>
              <w:bottom w:val="single" w:sz="8" w:space="0" w:color="auto"/>
            </w:tcBorders>
          </w:tcPr>
          <w:p w14:paraId="209100BE" w14:textId="77777777" w:rsidR="00BF1963" w:rsidRPr="00317BD8" w:rsidRDefault="00BF1963">
            <w:pPr>
              <w:rPr>
                <w:rFonts w:ascii="宋体"/>
                <w:sz w:val="18"/>
                <w:szCs w:val="18"/>
              </w:rPr>
            </w:pPr>
          </w:p>
        </w:tc>
        <w:tc>
          <w:tcPr>
            <w:tcW w:w="1434" w:type="dxa"/>
            <w:tcBorders>
              <w:top w:val="single" w:sz="8" w:space="0" w:color="auto"/>
              <w:bottom w:val="single" w:sz="8" w:space="0" w:color="auto"/>
            </w:tcBorders>
          </w:tcPr>
          <w:p w14:paraId="75D64BAB" w14:textId="77777777" w:rsidR="00BF1963" w:rsidRPr="00317BD8" w:rsidRDefault="00250D17">
            <w:pPr>
              <w:pStyle w:val="TableParagraph"/>
              <w:spacing w:before="40" w:line="360" w:lineRule="auto"/>
              <w:ind w:right="399"/>
              <w:rPr>
                <w:rFonts w:ascii="Times New Roman" w:hAnsi="Times New Roman" w:cs="Times New Roman"/>
                <w:sz w:val="18"/>
                <w:szCs w:val="18"/>
              </w:rPr>
            </w:pPr>
            <w:r w:rsidRPr="00317BD8">
              <w:rPr>
                <w:rFonts w:ascii="Times New Roman" w:hAnsi="Times New Roman" w:cs="Times New Roman" w:hint="eastAsia"/>
                <w:sz w:val="18"/>
                <w:szCs w:val="18"/>
                <w:lang w:val="en-US" w:eastAsia="zh-CN"/>
              </w:rPr>
              <w:t xml:space="preserve">   </w:t>
            </w:r>
            <w:r w:rsidRPr="00317BD8">
              <w:rPr>
                <w:rFonts w:ascii="Times New Roman" w:hAnsi="Times New Roman" w:cs="Times New Roman"/>
                <w:sz w:val="18"/>
                <w:szCs w:val="18"/>
              </w:rPr>
              <w:t>80-120</w:t>
            </w:r>
          </w:p>
        </w:tc>
        <w:tc>
          <w:tcPr>
            <w:tcW w:w="1260" w:type="dxa"/>
            <w:tcBorders>
              <w:top w:val="single" w:sz="8" w:space="0" w:color="auto"/>
              <w:bottom w:val="single" w:sz="8" w:space="0" w:color="auto"/>
            </w:tcBorders>
          </w:tcPr>
          <w:p w14:paraId="3921C65F" w14:textId="77777777" w:rsidR="00BF1963" w:rsidRPr="00317BD8" w:rsidRDefault="00250D17">
            <w:pPr>
              <w:pStyle w:val="TableParagraph"/>
              <w:spacing w:before="40" w:line="360" w:lineRule="auto"/>
              <w:ind w:right="218"/>
              <w:jc w:val="both"/>
              <w:rPr>
                <w:rFonts w:ascii="Times New Roman" w:hAnsi="Times New Roman" w:cs="Times New Roman"/>
                <w:sz w:val="18"/>
                <w:szCs w:val="18"/>
              </w:rPr>
            </w:pPr>
            <w:r w:rsidRPr="00317BD8">
              <w:rPr>
                <w:rFonts w:ascii="Times New Roman" w:cs="Times New Roman"/>
                <w:sz w:val="18"/>
                <w:szCs w:val="18"/>
              </w:rPr>
              <w:t>＞</w:t>
            </w:r>
            <w:r w:rsidRPr="00317BD8">
              <w:rPr>
                <w:rFonts w:ascii="Times New Roman" w:hAnsi="Times New Roman" w:cs="Times New Roman"/>
                <w:sz w:val="18"/>
                <w:szCs w:val="18"/>
              </w:rPr>
              <w:t>120-180</w:t>
            </w:r>
          </w:p>
        </w:tc>
        <w:tc>
          <w:tcPr>
            <w:tcW w:w="1275" w:type="dxa"/>
            <w:tcBorders>
              <w:top w:val="single" w:sz="8" w:space="0" w:color="auto"/>
              <w:bottom w:val="single" w:sz="8" w:space="0" w:color="auto"/>
            </w:tcBorders>
          </w:tcPr>
          <w:p w14:paraId="5FC4100A" w14:textId="77777777" w:rsidR="00BF1963" w:rsidRPr="00317BD8" w:rsidRDefault="00250D17">
            <w:pPr>
              <w:pStyle w:val="TableParagraph"/>
              <w:spacing w:before="40" w:line="360" w:lineRule="auto"/>
              <w:ind w:right="218"/>
              <w:jc w:val="both"/>
              <w:rPr>
                <w:rFonts w:ascii="Times New Roman" w:hAnsi="Times New Roman" w:cs="Times New Roman"/>
                <w:sz w:val="18"/>
                <w:szCs w:val="18"/>
              </w:rPr>
            </w:pPr>
            <w:r w:rsidRPr="00317BD8">
              <w:rPr>
                <w:rFonts w:ascii="Times New Roman" w:cs="Times New Roman"/>
                <w:sz w:val="18"/>
                <w:szCs w:val="18"/>
              </w:rPr>
              <w:t>＞</w:t>
            </w:r>
            <w:r w:rsidRPr="00317BD8">
              <w:rPr>
                <w:rFonts w:ascii="Times New Roman" w:hAnsi="Times New Roman" w:cs="Times New Roman"/>
                <w:sz w:val="18"/>
                <w:szCs w:val="18"/>
              </w:rPr>
              <w:t>180-250</w:t>
            </w:r>
          </w:p>
        </w:tc>
        <w:tc>
          <w:tcPr>
            <w:tcW w:w="1276" w:type="dxa"/>
            <w:tcBorders>
              <w:top w:val="single" w:sz="8" w:space="0" w:color="auto"/>
              <w:bottom w:val="single" w:sz="8" w:space="0" w:color="auto"/>
            </w:tcBorders>
          </w:tcPr>
          <w:p w14:paraId="7FA82E30" w14:textId="77777777" w:rsidR="00BF1963" w:rsidRPr="00317BD8" w:rsidRDefault="00250D17">
            <w:pPr>
              <w:pStyle w:val="TableParagraph"/>
              <w:spacing w:before="40" w:line="360" w:lineRule="auto"/>
              <w:ind w:right="214"/>
              <w:jc w:val="both"/>
              <w:rPr>
                <w:rFonts w:ascii="Times New Roman" w:hAnsi="Times New Roman" w:cs="Times New Roman"/>
                <w:sz w:val="18"/>
                <w:szCs w:val="18"/>
              </w:rPr>
            </w:pPr>
            <w:r w:rsidRPr="00317BD8">
              <w:rPr>
                <w:rFonts w:ascii="Times New Roman" w:cs="Times New Roman"/>
                <w:sz w:val="18"/>
                <w:szCs w:val="18"/>
              </w:rPr>
              <w:t>＞</w:t>
            </w:r>
            <w:r w:rsidRPr="00317BD8">
              <w:rPr>
                <w:rFonts w:ascii="Times New Roman" w:hAnsi="Times New Roman" w:cs="Times New Roman"/>
                <w:sz w:val="18"/>
                <w:szCs w:val="18"/>
              </w:rPr>
              <w:t>250-315</w:t>
            </w:r>
          </w:p>
        </w:tc>
        <w:tc>
          <w:tcPr>
            <w:tcW w:w="1276" w:type="dxa"/>
            <w:tcBorders>
              <w:top w:val="single" w:sz="8" w:space="0" w:color="auto"/>
              <w:bottom w:val="single" w:sz="8" w:space="0" w:color="auto"/>
            </w:tcBorders>
          </w:tcPr>
          <w:p w14:paraId="7200F07B" w14:textId="77777777" w:rsidR="00BF1963" w:rsidRPr="00317BD8" w:rsidRDefault="00250D17">
            <w:pPr>
              <w:pStyle w:val="TableParagraph"/>
              <w:spacing w:before="40" w:line="360" w:lineRule="auto"/>
              <w:ind w:left="0" w:right="224"/>
              <w:jc w:val="both"/>
              <w:rPr>
                <w:rFonts w:ascii="Times New Roman" w:hAnsi="Times New Roman" w:cs="Times New Roman"/>
                <w:sz w:val="18"/>
                <w:szCs w:val="18"/>
              </w:rPr>
            </w:pPr>
            <w:r w:rsidRPr="00317BD8">
              <w:rPr>
                <w:rFonts w:ascii="Times New Roman" w:cs="Times New Roman"/>
                <w:sz w:val="18"/>
                <w:szCs w:val="18"/>
              </w:rPr>
              <w:t>＞</w:t>
            </w:r>
            <w:r w:rsidRPr="00317BD8">
              <w:rPr>
                <w:rFonts w:ascii="Times New Roman" w:hAnsi="Times New Roman" w:cs="Times New Roman"/>
                <w:sz w:val="18"/>
                <w:szCs w:val="18"/>
              </w:rPr>
              <w:t>315-400</w:t>
            </w:r>
          </w:p>
        </w:tc>
        <w:tc>
          <w:tcPr>
            <w:tcW w:w="1276" w:type="dxa"/>
            <w:tcBorders>
              <w:top w:val="single" w:sz="8" w:space="0" w:color="auto"/>
              <w:bottom w:val="single" w:sz="8" w:space="0" w:color="auto"/>
            </w:tcBorders>
          </w:tcPr>
          <w:p w14:paraId="29168111" w14:textId="77777777" w:rsidR="00BF1963" w:rsidRPr="00317BD8" w:rsidRDefault="00250D17">
            <w:pPr>
              <w:pStyle w:val="TableParagraph"/>
              <w:spacing w:before="40" w:line="360" w:lineRule="auto"/>
              <w:ind w:right="229"/>
              <w:jc w:val="both"/>
              <w:rPr>
                <w:rFonts w:ascii="Times New Roman" w:hAnsi="Times New Roman" w:cs="Times New Roman"/>
                <w:sz w:val="18"/>
                <w:szCs w:val="18"/>
              </w:rPr>
            </w:pPr>
            <w:r w:rsidRPr="00317BD8">
              <w:rPr>
                <w:rFonts w:ascii="Times New Roman" w:cs="Times New Roman"/>
                <w:sz w:val="18"/>
                <w:szCs w:val="18"/>
              </w:rPr>
              <w:t>＞</w:t>
            </w:r>
            <w:r w:rsidRPr="00317BD8">
              <w:rPr>
                <w:rFonts w:ascii="Times New Roman" w:hAnsi="Times New Roman" w:cs="Times New Roman"/>
                <w:sz w:val="18"/>
                <w:szCs w:val="18"/>
              </w:rPr>
              <w:t>400-500</w:t>
            </w:r>
          </w:p>
        </w:tc>
      </w:tr>
      <w:tr w:rsidR="00865D18" w:rsidRPr="00317BD8" w14:paraId="0E2991F9" w14:textId="77777777">
        <w:tc>
          <w:tcPr>
            <w:tcW w:w="1701" w:type="dxa"/>
            <w:tcBorders>
              <w:top w:val="single" w:sz="8" w:space="0" w:color="auto"/>
              <w:bottom w:val="single" w:sz="8" w:space="0" w:color="auto"/>
            </w:tcBorders>
          </w:tcPr>
          <w:p w14:paraId="54CC237D" w14:textId="77777777" w:rsidR="00BF1963" w:rsidRPr="00317BD8" w:rsidRDefault="00250D17">
            <w:pPr>
              <w:pStyle w:val="TableParagraph"/>
              <w:spacing w:before="40" w:line="360" w:lineRule="auto"/>
              <w:ind w:left="0" w:right="100"/>
              <w:rPr>
                <w:rFonts w:ascii="Times New Roman" w:hAnsi="Times New Roman" w:cs="Times New Roman"/>
                <w:sz w:val="18"/>
                <w:szCs w:val="18"/>
              </w:rPr>
            </w:pPr>
            <w:r w:rsidRPr="00317BD8">
              <w:rPr>
                <w:rFonts w:ascii="Times New Roman" w:cs="Times New Roman"/>
                <w:sz w:val="18"/>
                <w:szCs w:val="18"/>
              </w:rPr>
              <w:t>圆度和圆柱度</w:t>
            </w:r>
            <w:r w:rsidRPr="00317BD8">
              <w:rPr>
                <w:rFonts w:ascii="Times New Roman" w:hAnsi="Times New Roman" w:cs="Times New Roman"/>
                <w:sz w:val="18"/>
                <w:szCs w:val="18"/>
              </w:rPr>
              <w:t>mm</w:t>
            </w:r>
          </w:p>
        </w:tc>
        <w:tc>
          <w:tcPr>
            <w:tcW w:w="1434" w:type="dxa"/>
            <w:tcBorders>
              <w:top w:val="single" w:sz="8" w:space="0" w:color="auto"/>
              <w:bottom w:val="single" w:sz="8" w:space="0" w:color="auto"/>
            </w:tcBorders>
          </w:tcPr>
          <w:p w14:paraId="367A6739" w14:textId="77777777" w:rsidR="00BF1963" w:rsidRPr="00317BD8" w:rsidRDefault="00250D17">
            <w:pPr>
              <w:pStyle w:val="TableParagraph"/>
              <w:spacing w:before="40" w:line="360" w:lineRule="auto"/>
              <w:ind w:left="398" w:right="399"/>
              <w:rPr>
                <w:rFonts w:ascii="Times New Roman" w:hAnsi="Times New Roman" w:cs="Times New Roman"/>
                <w:sz w:val="18"/>
                <w:szCs w:val="18"/>
              </w:rPr>
            </w:pPr>
            <w:r w:rsidRPr="00317BD8">
              <w:rPr>
                <w:rFonts w:ascii="Times New Roman" w:hAnsi="Times New Roman" w:cs="Times New Roman"/>
                <w:sz w:val="18"/>
                <w:szCs w:val="18"/>
              </w:rPr>
              <w:t>0.022</w:t>
            </w:r>
          </w:p>
        </w:tc>
        <w:tc>
          <w:tcPr>
            <w:tcW w:w="1260" w:type="dxa"/>
            <w:tcBorders>
              <w:top w:val="single" w:sz="8" w:space="0" w:color="auto"/>
              <w:bottom w:val="single" w:sz="8" w:space="0" w:color="auto"/>
            </w:tcBorders>
          </w:tcPr>
          <w:p w14:paraId="10D6D65E" w14:textId="77777777" w:rsidR="00BF1963" w:rsidRPr="00317BD8" w:rsidRDefault="00250D17">
            <w:pPr>
              <w:pStyle w:val="TableParagraph"/>
              <w:spacing w:before="40" w:line="360" w:lineRule="auto"/>
              <w:ind w:left="217" w:right="218"/>
              <w:rPr>
                <w:rFonts w:ascii="Times New Roman" w:hAnsi="Times New Roman" w:cs="Times New Roman"/>
                <w:sz w:val="18"/>
                <w:szCs w:val="18"/>
              </w:rPr>
            </w:pPr>
            <w:r w:rsidRPr="00317BD8">
              <w:rPr>
                <w:rFonts w:ascii="Times New Roman" w:hAnsi="Times New Roman" w:cs="Times New Roman"/>
                <w:sz w:val="18"/>
                <w:szCs w:val="18"/>
              </w:rPr>
              <w:t>0.025</w:t>
            </w:r>
          </w:p>
        </w:tc>
        <w:tc>
          <w:tcPr>
            <w:tcW w:w="1275" w:type="dxa"/>
            <w:tcBorders>
              <w:top w:val="single" w:sz="8" w:space="0" w:color="auto"/>
              <w:bottom w:val="single" w:sz="8" w:space="0" w:color="auto"/>
            </w:tcBorders>
          </w:tcPr>
          <w:p w14:paraId="1CEA93C4" w14:textId="77777777" w:rsidR="00BF1963" w:rsidRPr="00317BD8" w:rsidRDefault="00250D17">
            <w:pPr>
              <w:pStyle w:val="TableParagraph"/>
              <w:spacing w:before="40" w:line="360" w:lineRule="auto"/>
              <w:ind w:left="213" w:right="218"/>
              <w:rPr>
                <w:rFonts w:ascii="Times New Roman" w:hAnsi="Times New Roman" w:cs="Times New Roman"/>
                <w:sz w:val="18"/>
                <w:szCs w:val="18"/>
              </w:rPr>
            </w:pPr>
            <w:r w:rsidRPr="00317BD8">
              <w:rPr>
                <w:rFonts w:ascii="Times New Roman" w:hAnsi="Times New Roman" w:cs="Times New Roman"/>
                <w:sz w:val="18"/>
                <w:szCs w:val="18"/>
              </w:rPr>
              <w:t>0.029</w:t>
            </w:r>
          </w:p>
        </w:tc>
        <w:tc>
          <w:tcPr>
            <w:tcW w:w="1276" w:type="dxa"/>
            <w:tcBorders>
              <w:top w:val="single" w:sz="8" w:space="0" w:color="auto"/>
              <w:bottom w:val="single" w:sz="8" w:space="0" w:color="auto"/>
            </w:tcBorders>
          </w:tcPr>
          <w:p w14:paraId="6E3381D8" w14:textId="77777777" w:rsidR="00BF1963" w:rsidRPr="00317BD8" w:rsidRDefault="00250D17">
            <w:pPr>
              <w:pStyle w:val="TableParagraph"/>
              <w:spacing w:before="40" w:line="360" w:lineRule="auto"/>
              <w:ind w:left="219" w:right="218"/>
              <w:rPr>
                <w:rFonts w:ascii="Times New Roman" w:hAnsi="Times New Roman" w:cs="Times New Roman"/>
                <w:sz w:val="18"/>
                <w:szCs w:val="18"/>
              </w:rPr>
            </w:pPr>
            <w:r w:rsidRPr="00317BD8">
              <w:rPr>
                <w:rFonts w:ascii="Times New Roman" w:hAnsi="Times New Roman" w:cs="Times New Roman"/>
                <w:sz w:val="18"/>
                <w:szCs w:val="18"/>
              </w:rPr>
              <w:t>0.032</w:t>
            </w:r>
          </w:p>
        </w:tc>
        <w:tc>
          <w:tcPr>
            <w:tcW w:w="1276" w:type="dxa"/>
            <w:tcBorders>
              <w:top w:val="single" w:sz="8" w:space="0" w:color="auto"/>
              <w:bottom w:val="single" w:sz="8" w:space="0" w:color="auto"/>
            </w:tcBorders>
          </w:tcPr>
          <w:p w14:paraId="49092BC9" w14:textId="77777777" w:rsidR="00BF1963" w:rsidRPr="00317BD8" w:rsidRDefault="00250D17">
            <w:pPr>
              <w:pStyle w:val="TableParagraph"/>
              <w:spacing w:before="40" w:line="360" w:lineRule="auto"/>
              <w:ind w:left="220" w:right="224"/>
              <w:rPr>
                <w:rFonts w:ascii="Times New Roman" w:hAnsi="Times New Roman" w:cs="Times New Roman"/>
                <w:sz w:val="18"/>
                <w:szCs w:val="18"/>
              </w:rPr>
            </w:pPr>
            <w:r w:rsidRPr="00317BD8">
              <w:rPr>
                <w:rFonts w:ascii="Times New Roman" w:hAnsi="Times New Roman" w:cs="Times New Roman"/>
                <w:sz w:val="18"/>
                <w:szCs w:val="18"/>
              </w:rPr>
              <w:t>0.036</w:t>
            </w:r>
          </w:p>
        </w:tc>
        <w:tc>
          <w:tcPr>
            <w:tcW w:w="1276" w:type="dxa"/>
            <w:tcBorders>
              <w:top w:val="single" w:sz="8" w:space="0" w:color="auto"/>
              <w:bottom w:val="single" w:sz="8" w:space="0" w:color="auto"/>
            </w:tcBorders>
          </w:tcPr>
          <w:p w14:paraId="7FE1A2A5" w14:textId="77777777" w:rsidR="00BF1963" w:rsidRPr="00317BD8" w:rsidRDefault="00250D17">
            <w:pPr>
              <w:pStyle w:val="TableParagraph"/>
              <w:spacing w:before="40" w:line="360" w:lineRule="auto"/>
              <w:ind w:left="222" w:right="229"/>
              <w:rPr>
                <w:rFonts w:ascii="Times New Roman" w:hAnsi="Times New Roman" w:cs="Times New Roman"/>
                <w:sz w:val="18"/>
                <w:szCs w:val="18"/>
              </w:rPr>
            </w:pPr>
            <w:r w:rsidRPr="00317BD8">
              <w:rPr>
                <w:rFonts w:ascii="Times New Roman" w:hAnsi="Times New Roman" w:cs="Times New Roman"/>
                <w:sz w:val="18"/>
                <w:szCs w:val="18"/>
              </w:rPr>
              <w:t>0.04</w:t>
            </w:r>
          </w:p>
        </w:tc>
      </w:tr>
      <w:tr w:rsidR="00865D18" w:rsidRPr="00317BD8" w14:paraId="520B9FB2" w14:textId="77777777">
        <w:tc>
          <w:tcPr>
            <w:tcW w:w="1701" w:type="dxa"/>
            <w:tcBorders>
              <w:top w:val="single" w:sz="8" w:space="0" w:color="auto"/>
              <w:bottom w:val="single" w:sz="8" w:space="0" w:color="auto"/>
            </w:tcBorders>
          </w:tcPr>
          <w:p w14:paraId="6BD1C503" w14:textId="77777777" w:rsidR="00BF1963" w:rsidRPr="00317BD8" w:rsidRDefault="00250D17">
            <w:pPr>
              <w:pStyle w:val="TableParagraph"/>
              <w:spacing w:before="40" w:line="360" w:lineRule="auto"/>
              <w:ind w:left="0" w:right="100"/>
              <w:rPr>
                <w:rFonts w:ascii="Times New Roman" w:hAnsi="Times New Roman" w:cs="Times New Roman"/>
                <w:sz w:val="18"/>
                <w:szCs w:val="18"/>
              </w:rPr>
            </w:pPr>
            <w:r w:rsidRPr="00317BD8">
              <w:rPr>
                <w:rFonts w:ascii="Times New Roman" w:cs="Times New Roman"/>
                <w:sz w:val="18"/>
                <w:szCs w:val="18"/>
              </w:rPr>
              <w:t>磨</w:t>
            </w:r>
            <w:r w:rsidRPr="00317BD8">
              <w:rPr>
                <w:rFonts w:ascii="Times New Roman" w:cs="Times New Roman"/>
                <w:spacing w:val="-5"/>
                <w:sz w:val="18"/>
                <w:szCs w:val="18"/>
              </w:rPr>
              <w:t>损</w:t>
            </w:r>
            <w:r w:rsidRPr="00317BD8">
              <w:rPr>
                <w:rFonts w:ascii="Times New Roman" w:cs="Times New Roman"/>
                <w:sz w:val="18"/>
                <w:szCs w:val="18"/>
              </w:rPr>
              <w:t>极限</w:t>
            </w:r>
            <w:r w:rsidRPr="00317BD8">
              <w:rPr>
                <w:rFonts w:ascii="Times New Roman" w:hAnsi="Times New Roman" w:cs="Times New Roman"/>
                <w:sz w:val="18"/>
                <w:szCs w:val="18"/>
              </w:rPr>
              <w:t>mm</w:t>
            </w:r>
          </w:p>
        </w:tc>
        <w:tc>
          <w:tcPr>
            <w:tcW w:w="1434" w:type="dxa"/>
            <w:tcBorders>
              <w:top w:val="single" w:sz="8" w:space="0" w:color="auto"/>
              <w:bottom w:val="single" w:sz="8" w:space="0" w:color="auto"/>
            </w:tcBorders>
          </w:tcPr>
          <w:p w14:paraId="697FEFD6" w14:textId="77777777" w:rsidR="00BF1963" w:rsidRPr="00317BD8" w:rsidRDefault="00250D17">
            <w:pPr>
              <w:pStyle w:val="TableParagraph"/>
              <w:spacing w:before="40" w:line="360" w:lineRule="auto"/>
              <w:ind w:left="0" w:right="1"/>
              <w:rPr>
                <w:rFonts w:ascii="Times New Roman" w:hAnsi="Times New Roman" w:cs="Times New Roman"/>
                <w:sz w:val="18"/>
                <w:szCs w:val="18"/>
              </w:rPr>
            </w:pPr>
            <w:r w:rsidRPr="00317BD8">
              <w:rPr>
                <w:rFonts w:ascii="Times New Roman" w:hAnsi="Times New Roman" w:cs="Times New Roman"/>
                <w:w w:val="101"/>
                <w:sz w:val="18"/>
                <w:szCs w:val="18"/>
              </w:rPr>
              <w:t>1</w:t>
            </w:r>
          </w:p>
        </w:tc>
        <w:tc>
          <w:tcPr>
            <w:tcW w:w="1260" w:type="dxa"/>
            <w:tcBorders>
              <w:top w:val="single" w:sz="8" w:space="0" w:color="auto"/>
              <w:bottom w:val="single" w:sz="8" w:space="0" w:color="auto"/>
            </w:tcBorders>
          </w:tcPr>
          <w:p w14:paraId="6C20C65F" w14:textId="77777777" w:rsidR="00BF1963" w:rsidRPr="00317BD8" w:rsidRDefault="00250D17">
            <w:pPr>
              <w:pStyle w:val="TableParagraph"/>
              <w:spacing w:before="40" w:line="360" w:lineRule="auto"/>
              <w:ind w:left="0" w:right="1"/>
              <w:rPr>
                <w:rFonts w:ascii="Times New Roman" w:hAnsi="Times New Roman" w:cs="Times New Roman"/>
                <w:sz w:val="18"/>
                <w:szCs w:val="18"/>
              </w:rPr>
            </w:pPr>
            <w:r w:rsidRPr="00317BD8">
              <w:rPr>
                <w:rFonts w:ascii="Times New Roman" w:hAnsi="Times New Roman" w:cs="Times New Roman"/>
                <w:w w:val="101"/>
                <w:sz w:val="18"/>
                <w:szCs w:val="18"/>
              </w:rPr>
              <w:t>1</w:t>
            </w:r>
          </w:p>
        </w:tc>
        <w:tc>
          <w:tcPr>
            <w:tcW w:w="1275" w:type="dxa"/>
            <w:tcBorders>
              <w:top w:val="single" w:sz="8" w:space="0" w:color="auto"/>
              <w:bottom w:val="single" w:sz="8" w:space="0" w:color="auto"/>
            </w:tcBorders>
          </w:tcPr>
          <w:p w14:paraId="40671E5A" w14:textId="77777777" w:rsidR="00BF1963" w:rsidRPr="00317BD8" w:rsidRDefault="00250D17">
            <w:pPr>
              <w:pStyle w:val="TableParagraph"/>
              <w:spacing w:before="40" w:line="360" w:lineRule="auto"/>
              <w:ind w:left="213" w:right="218"/>
              <w:rPr>
                <w:rFonts w:ascii="Times New Roman" w:hAnsi="Times New Roman" w:cs="Times New Roman"/>
                <w:sz w:val="18"/>
                <w:szCs w:val="18"/>
              </w:rPr>
            </w:pPr>
            <w:r w:rsidRPr="00317BD8">
              <w:rPr>
                <w:rFonts w:ascii="Times New Roman" w:hAnsi="Times New Roman" w:cs="Times New Roman"/>
                <w:sz w:val="18"/>
                <w:szCs w:val="18"/>
              </w:rPr>
              <w:t>1.5</w:t>
            </w:r>
          </w:p>
        </w:tc>
        <w:tc>
          <w:tcPr>
            <w:tcW w:w="1276" w:type="dxa"/>
            <w:tcBorders>
              <w:top w:val="single" w:sz="8" w:space="0" w:color="auto"/>
              <w:bottom w:val="single" w:sz="8" w:space="0" w:color="auto"/>
            </w:tcBorders>
          </w:tcPr>
          <w:p w14:paraId="4F0435A4" w14:textId="77777777" w:rsidR="00BF1963" w:rsidRPr="00317BD8" w:rsidRDefault="00250D17">
            <w:pPr>
              <w:pStyle w:val="TableParagraph"/>
              <w:spacing w:before="40" w:line="360" w:lineRule="auto"/>
              <w:ind w:left="219" w:right="218"/>
              <w:rPr>
                <w:rFonts w:ascii="Times New Roman" w:hAnsi="Times New Roman" w:cs="Times New Roman"/>
                <w:sz w:val="18"/>
                <w:szCs w:val="18"/>
              </w:rPr>
            </w:pPr>
            <w:r w:rsidRPr="00317BD8">
              <w:rPr>
                <w:rFonts w:ascii="Times New Roman" w:hAnsi="Times New Roman" w:cs="Times New Roman"/>
                <w:sz w:val="18"/>
                <w:szCs w:val="18"/>
              </w:rPr>
              <w:t>1.5</w:t>
            </w:r>
          </w:p>
        </w:tc>
        <w:tc>
          <w:tcPr>
            <w:tcW w:w="1276" w:type="dxa"/>
            <w:tcBorders>
              <w:top w:val="single" w:sz="8" w:space="0" w:color="auto"/>
              <w:bottom w:val="single" w:sz="8" w:space="0" w:color="auto"/>
            </w:tcBorders>
          </w:tcPr>
          <w:p w14:paraId="6F8AB156" w14:textId="77777777" w:rsidR="00BF1963" w:rsidRPr="00317BD8" w:rsidRDefault="00250D17">
            <w:pPr>
              <w:pStyle w:val="TableParagraph"/>
              <w:spacing w:before="40" w:line="360" w:lineRule="auto"/>
              <w:ind w:left="0" w:right="4"/>
              <w:rPr>
                <w:rFonts w:ascii="Times New Roman" w:hAnsi="Times New Roman" w:cs="Times New Roman"/>
                <w:sz w:val="18"/>
                <w:szCs w:val="18"/>
              </w:rPr>
            </w:pPr>
            <w:r w:rsidRPr="00317BD8">
              <w:rPr>
                <w:rFonts w:ascii="Times New Roman" w:hAnsi="Times New Roman" w:cs="Times New Roman"/>
                <w:w w:val="101"/>
                <w:sz w:val="18"/>
                <w:szCs w:val="18"/>
              </w:rPr>
              <w:t>2</w:t>
            </w:r>
          </w:p>
        </w:tc>
        <w:tc>
          <w:tcPr>
            <w:tcW w:w="1276" w:type="dxa"/>
            <w:tcBorders>
              <w:top w:val="single" w:sz="8" w:space="0" w:color="auto"/>
              <w:bottom w:val="single" w:sz="8" w:space="0" w:color="auto"/>
            </w:tcBorders>
          </w:tcPr>
          <w:p w14:paraId="36C22B80" w14:textId="77777777" w:rsidR="00BF1963" w:rsidRPr="00317BD8" w:rsidRDefault="00250D17">
            <w:pPr>
              <w:pStyle w:val="TableParagraph"/>
              <w:spacing w:before="40" w:line="360" w:lineRule="auto"/>
              <w:ind w:left="0" w:right="2"/>
              <w:rPr>
                <w:rFonts w:ascii="Times New Roman" w:hAnsi="Times New Roman" w:cs="Times New Roman"/>
                <w:sz w:val="18"/>
                <w:szCs w:val="18"/>
              </w:rPr>
            </w:pPr>
            <w:r w:rsidRPr="00317BD8">
              <w:rPr>
                <w:rFonts w:ascii="Times New Roman" w:hAnsi="Times New Roman" w:cs="Times New Roman"/>
                <w:w w:val="101"/>
                <w:sz w:val="18"/>
                <w:szCs w:val="18"/>
              </w:rPr>
              <w:t>2</w:t>
            </w:r>
          </w:p>
        </w:tc>
      </w:tr>
    </w:tbl>
    <w:p w14:paraId="22FA5378" w14:textId="77777777" w:rsidR="00BF1963" w:rsidRPr="00317BD8" w:rsidRDefault="00BF1963">
      <w:pPr>
        <w:rPr>
          <w:rFonts w:asciiTheme="minorEastAsia" w:hAnsiTheme="minorEastAsia" w:cstheme="minorEastAsia"/>
          <w:szCs w:val="21"/>
        </w:rPr>
      </w:pPr>
    </w:p>
    <w:p w14:paraId="7860FA55" w14:textId="77777777" w:rsidR="00BF1963" w:rsidRPr="00317BD8" w:rsidRDefault="00250D17">
      <w:pPr>
        <w:numPr>
          <w:ilvl w:val="2"/>
          <w:numId w:val="3"/>
        </w:numPr>
        <w:rPr>
          <w:rFonts w:asciiTheme="minorEastAsia" w:hAnsiTheme="minorEastAsia" w:cstheme="minorEastAsia"/>
          <w:szCs w:val="21"/>
        </w:rPr>
      </w:pPr>
      <w:r w:rsidRPr="00317BD8">
        <w:rPr>
          <w:rFonts w:asciiTheme="minorEastAsia" w:hAnsiTheme="minorEastAsia" w:cstheme="minorEastAsia" w:hint="eastAsia"/>
          <w:szCs w:val="21"/>
        </w:rPr>
        <w:t>轴承座、透盖、</w:t>
      </w:r>
      <w:r w:rsidRPr="00317BD8">
        <w:rPr>
          <w:rFonts w:asciiTheme="minorEastAsia" w:hAnsiTheme="minorEastAsia" w:cstheme="minorEastAsia"/>
          <w:szCs w:val="21"/>
        </w:rPr>
        <w:t>端盖</w:t>
      </w:r>
    </w:p>
    <w:p w14:paraId="3B70839E" w14:textId="77777777" w:rsidR="00BF1963" w:rsidRPr="00317BD8" w:rsidRDefault="00250D17">
      <w:pPr>
        <w:pStyle w:val="ad"/>
        <w:ind w:left="425"/>
      </w:pPr>
      <w:r w:rsidRPr="00317BD8">
        <w:rPr>
          <w:rFonts w:hint="eastAsia"/>
        </w:rPr>
        <w:lastRenderedPageBreak/>
        <w:t>轴承座、</w:t>
      </w:r>
      <w:r w:rsidRPr="00317BD8">
        <w:rPr>
          <w:rFonts w:asciiTheme="minorEastAsia" w:hAnsiTheme="minorEastAsia" w:cstheme="minorEastAsia" w:hint="eastAsia"/>
          <w:szCs w:val="21"/>
        </w:rPr>
        <w:t>透盖、</w:t>
      </w:r>
      <w:r w:rsidRPr="00317BD8">
        <w:rPr>
          <w:rFonts w:asciiTheme="minorEastAsia" w:hAnsiTheme="minorEastAsia" w:cstheme="minorEastAsia"/>
          <w:szCs w:val="21"/>
        </w:rPr>
        <w:t>端盖</w:t>
      </w:r>
      <w:r w:rsidRPr="00317BD8">
        <w:rPr>
          <w:rFonts w:hint="eastAsia"/>
        </w:rPr>
        <w:t>尺寸公差</w:t>
      </w:r>
      <w:r w:rsidRPr="00317BD8">
        <w:rPr>
          <w:rFonts w:hAnsi="宋体" w:cs="宋体" w:hint="eastAsia"/>
        </w:rPr>
        <w:t>满足原型新品的质量保证要求</w:t>
      </w:r>
      <w:r w:rsidRPr="00317BD8">
        <w:rPr>
          <w:rFonts w:hint="eastAsia"/>
        </w:rPr>
        <w:t>，可作为</w:t>
      </w:r>
      <w:r w:rsidRPr="00317BD8">
        <w:t>直接使用件</w:t>
      </w:r>
      <w:r w:rsidRPr="00317BD8">
        <w:rPr>
          <w:rFonts w:hint="eastAsia"/>
        </w:rPr>
        <w:t>；当缺陷超出再制造工艺范围时，可作为</w:t>
      </w:r>
      <w:r w:rsidRPr="00317BD8">
        <w:t>弃用</w:t>
      </w:r>
      <w:r w:rsidRPr="00317BD8">
        <w:rPr>
          <w:rFonts w:hint="eastAsia"/>
        </w:rPr>
        <w:t>件</w:t>
      </w:r>
      <w:r w:rsidRPr="00317BD8">
        <w:t>。</w:t>
      </w:r>
    </w:p>
    <w:p w14:paraId="66761E3C" w14:textId="77777777" w:rsidR="00BF1963" w:rsidRPr="00317BD8" w:rsidRDefault="00BF1963">
      <w:pPr>
        <w:pStyle w:val="ad"/>
        <w:ind w:left="425"/>
      </w:pPr>
    </w:p>
    <w:p w14:paraId="5C72DBD5" w14:textId="77777777" w:rsidR="00BF1963" w:rsidRPr="00317BD8" w:rsidRDefault="00250D17">
      <w:pPr>
        <w:numPr>
          <w:ilvl w:val="2"/>
          <w:numId w:val="3"/>
        </w:numPr>
        <w:rPr>
          <w:rFonts w:asciiTheme="minorEastAsia" w:hAnsiTheme="minorEastAsia" w:cstheme="minorEastAsia"/>
          <w:szCs w:val="21"/>
        </w:rPr>
      </w:pPr>
      <w:r w:rsidRPr="00317BD8">
        <w:rPr>
          <w:rFonts w:asciiTheme="minorEastAsia" w:hAnsiTheme="minorEastAsia" w:cstheme="minorEastAsia" w:hint="eastAsia"/>
          <w:szCs w:val="21"/>
        </w:rPr>
        <w:t>轴承、</w:t>
      </w:r>
      <w:r w:rsidRPr="00317BD8">
        <w:rPr>
          <w:rFonts w:asciiTheme="minorEastAsia" w:hAnsiTheme="minorEastAsia" w:cstheme="minorEastAsia"/>
          <w:szCs w:val="21"/>
        </w:rPr>
        <w:t>密封件及紧固件</w:t>
      </w:r>
    </w:p>
    <w:p w14:paraId="3D6853C5" w14:textId="77777777" w:rsidR="00BF1963" w:rsidRPr="00317BD8" w:rsidRDefault="00250D17">
      <w:pPr>
        <w:pStyle w:val="ad"/>
        <w:ind w:left="425"/>
      </w:pPr>
      <w:r w:rsidRPr="00317BD8">
        <w:rPr>
          <w:rFonts w:hint="eastAsia"/>
        </w:rPr>
        <w:t>轴承、密封件及紧固件</w:t>
      </w:r>
      <w:r w:rsidRPr="00317BD8">
        <w:rPr>
          <w:rFonts w:hAnsi="宋体" w:cs="宋体" w:hint="eastAsia"/>
        </w:rPr>
        <w:t>更换新件</w:t>
      </w:r>
      <w:r w:rsidRPr="00317BD8">
        <w:rPr>
          <w:rFonts w:hint="eastAsia"/>
        </w:rPr>
        <w:t>。</w:t>
      </w:r>
    </w:p>
    <w:p w14:paraId="66627ACA" w14:textId="77777777" w:rsidR="00BF1963" w:rsidRPr="00317BD8" w:rsidRDefault="00BF1963">
      <w:pPr>
        <w:rPr>
          <w:rFonts w:asciiTheme="minorEastAsia" w:hAnsiTheme="minorEastAsia" w:cstheme="minorEastAsia"/>
          <w:szCs w:val="21"/>
        </w:rPr>
      </w:pPr>
    </w:p>
    <w:p w14:paraId="6B0D897F" w14:textId="77777777" w:rsidR="00BF1963" w:rsidRPr="00317BD8" w:rsidRDefault="00250D17">
      <w:pPr>
        <w:numPr>
          <w:ilvl w:val="1"/>
          <w:numId w:val="3"/>
        </w:numPr>
        <w:rPr>
          <w:rFonts w:ascii="黑体" w:eastAsia="黑体" w:hAnsi="黑体" w:cs="黑体"/>
          <w:szCs w:val="21"/>
        </w:rPr>
      </w:pPr>
      <w:r w:rsidRPr="00317BD8">
        <w:rPr>
          <w:rFonts w:ascii="黑体" w:eastAsia="黑体" w:hAnsi="黑体" w:cs="黑体" w:hint="eastAsia"/>
          <w:szCs w:val="21"/>
        </w:rPr>
        <w:t>机头架</w:t>
      </w:r>
      <w:r w:rsidRPr="00317BD8">
        <w:rPr>
          <w:rFonts w:ascii="黑体" w:eastAsia="黑体" w:hAnsi="黑体" w:cs="黑体"/>
          <w:szCs w:val="21"/>
        </w:rPr>
        <w:t>、机尾架</w:t>
      </w:r>
    </w:p>
    <w:p w14:paraId="0160BF7B" w14:textId="77777777" w:rsidR="00BF1963" w:rsidRPr="00317BD8" w:rsidRDefault="00BF1963">
      <w:pPr>
        <w:rPr>
          <w:rFonts w:ascii="黑体" w:eastAsia="黑体" w:hAnsi="黑体" w:cs="黑体"/>
          <w:szCs w:val="21"/>
        </w:rPr>
      </w:pPr>
    </w:p>
    <w:p w14:paraId="779E8C59"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机头架、机尾架无开焊、变形等缺陷，机架两侧板对中板的垂直度偏差不大于2mm，机头、机尾架上安装传动装置的定位面、孔满足原型新品质量保证要求的，可作为直接使用件；当垂直度超差或出现上述缺陷，可作为可再制造件；当缺陷超出再制造工艺范围时，可作为弃用件。</w:t>
      </w:r>
    </w:p>
    <w:p w14:paraId="187B3B28" w14:textId="77777777" w:rsidR="00BF1963" w:rsidRPr="00317BD8" w:rsidRDefault="00250D17">
      <w:pPr>
        <w:pStyle w:val="a1"/>
        <w:numPr>
          <w:ilvl w:val="2"/>
          <w:numId w:val="3"/>
        </w:numPr>
        <w:spacing w:beforeLines="0" w:afterLines="0"/>
        <w:rPr>
          <w:rFonts w:ascii="宋体" w:eastAsia="宋体" w:hAnsi="宋体" w:cs="宋体"/>
          <w:spacing w:val="-7"/>
        </w:rPr>
      </w:pPr>
      <w:r w:rsidRPr="00317BD8">
        <w:rPr>
          <w:rFonts w:ascii="宋体" w:eastAsia="宋体" w:hAnsi="宋体" w:cs="宋体" w:hint="eastAsia"/>
          <w:spacing w:val="-7"/>
        </w:rPr>
        <w:t>压链板、下底板、上中板、侧板无变形，中板磨损量不大于原型新品的10%、侧板磨损量不大于原型新品的10%，</w:t>
      </w:r>
      <w:r w:rsidRPr="00317BD8">
        <w:rPr>
          <w:rFonts w:ascii="宋体" w:eastAsia="宋体" w:hAnsi="宋体" w:cs="宋体" w:hint="eastAsia"/>
        </w:rPr>
        <w:t>可作为直接使用件；</w:t>
      </w:r>
      <w:r w:rsidRPr="00317BD8">
        <w:rPr>
          <w:rFonts w:ascii="宋体" w:eastAsia="宋体" w:hAnsi="宋体" w:cs="宋体" w:hint="eastAsia"/>
          <w:spacing w:val="-7"/>
        </w:rPr>
        <w:t>中板磨损量不大于原型新品的20%，局部不大于25%、侧板磨损量不大于原型新品的15%，可作为可再制造件；</w:t>
      </w:r>
      <w:r w:rsidRPr="00317BD8">
        <w:rPr>
          <w:rFonts w:ascii="宋体" w:eastAsia="宋体" w:hAnsi="宋体" w:cs="宋体" w:hint="eastAsia"/>
        </w:rPr>
        <w:t>当磨损量超差或缺陷超出再制造工艺范围时，可</w:t>
      </w:r>
      <w:r w:rsidRPr="00317BD8">
        <w:rPr>
          <w:rFonts w:ascii="宋体" w:eastAsia="宋体" w:hAnsi="宋体" w:cs="宋体" w:hint="eastAsia"/>
          <w:spacing w:val="-7"/>
        </w:rPr>
        <w:t>作为</w:t>
      </w:r>
      <w:r w:rsidRPr="00317BD8">
        <w:rPr>
          <w:rFonts w:ascii="宋体" w:eastAsia="宋体" w:hAnsi="宋体" w:cs="宋体"/>
          <w:spacing w:val="-7"/>
        </w:rPr>
        <w:t>弃用</w:t>
      </w:r>
      <w:r w:rsidRPr="00317BD8">
        <w:rPr>
          <w:rFonts w:ascii="宋体" w:eastAsia="宋体" w:hAnsi="宋体" w:cs="宋体" w:hint="eastAsia"/>
          <w:spacing w:val="-7"/>
        </w:rPr>
        <w:t>件</w:t>
      </w:r>
      <w:r w:rsidRPr="00317BD8">
        <w:rPr>
          <w:rFonts w:ascii="宋体" w:eastAsia="宋体" w:hAnsi="宋体" w:cs="宋体"/>
          <w:spacing w:val="-7"/>
        </w:rPr>
        <w:t>。</w:t>
      </w:r>
    </w:p>
    <w:p w14:paraId="4A99201C" w14:textId="77777777" w:rsidR="00BF1963" w:rsidRPr="00317BD8" w:rsidRDefault="00250D17">
      <w:pPr>
        <w:pStyle w:val="a1"/>
        <w:numPr>
          <w:ilvl w:val="2"/>
          <w:numId w:val="3"/>
        </w:numPr>
        <w:spacing w:beforeLines="0" w:afterLines="0"/>
        <w:rPr>
          <w:rFonts w:ascii="宋体" w:eastAsia="宋体" w:hAnsi="宋体" w:cs="宋体"/>
          <w:spacing w:val="-7"/>
        </w:rPr>
      </w:pPr>
      <w:r w:rsidRPr="00317BD8">
        <w:rPr>
          <w:rFonts w:ascii="宋体" w:eastAsia="宋体" w:hAnsi="宋体" w:cs="宋体" w:hint="eastAsia"/>
        </w:rPr>
        <w:t>机头架、机尾架</w:t>
      </w:r>
      <w:r w:rsidRPr="00317BD8">
        <w:rPr>
          <w:rFonts w:ascii="宋体" w:eastAsia="宋体" w:hAnsi="宋体" w:cs="宋体" w:hint="eastAsia"/>
          <w:spacing w:val="-7"/>
        </w:rPr>
        <w:t>与过渡槽接口处的上下错口量、左右错口量满足原型新品质量保证要求的，可作为直接使用件；上下错口量超差不大于2 mm、左右错口量超差不大于3mm时，可作为可再制造件。</w:t>
      </w:r>
      <w:r w:rsidRPr="00317BD8">
        <w:rPr>
          <w:rFonts w:ascii="宋体" w:eastAsia="宋体" w:hAnsi="宋体" w:cs="宋体" w:hint="eastAsia"/>
          <w:spacing w:val="-3"/>
        </w:rPr>
        <w:t>当错口量超</w:t>
      </w:r>
      <w:r w:rsidRPr="00317BD8">
        <w:rPr>
          <w:rFonts w:ascii="宋体" w:eastAsia="宋体" w:hAnsi="宋体" w:cs="宋体" w:hint="eastAsia"/>
        </w:rPr>
        <w:t>出再制造工艺范围时</w:t>
      </w:r>
      <w:r w:rsidRPr="00317BD8">
        <w:rPr>
          <w:rFonts w:ascii="宋体" w:eastAsia="宋体" w:hAnsi="宋体" w:cs="宋体" w:hint="eastAsia"/>
          <w:spacing w:val="-3"/>
        </w:rPr>
        <w:t>，</w:t>
      </w:r>
      <w:r w:rsidRPr="00317BD8">
        <w:rPr>
          <w:rFonts w:ascii="宋体" w:eastAsia="宋体" w:hAnsi="宋体" w:cs="宋体" w:hint="eastAsia"/>
        </w:rPr>
        <w:t>可</w:t>
      </w:r>
      <w:r w:rsidRPr="00317BD8">
        <w:rPr>
          <w:rFonts w:ascii="宋体" w:eastAsia="宋体" w:hAnsi="宋体" w:cs="宋体" w:hint="eastAsia"/>
          <w:spacing w:val="-7"/>
        </w:rPr>
        <w:t>作为</w:t>
      </w:r>
      <w:r w:rsidRPr="00317BD8">
        <w:rPr>
          <w:rFonts w:ascii="宋体" w:eastAsia="宋体" w:hAnsi="宋体" w:cs="宋体"/>
          <w:spacing w:val="-7"/>
        </w:rPr>
        <w:t>弃用</w:t>
      </w:r>
      <w:r w:rsidRPr="00317BD8">
        <w:rPr>
          <w:rFonts w:ascii="宋体" w:eastAsia="宋体" w:hAnsi="宋体" w:cs="宋体" w:hint="eastAsia"/>
          <w:spacing w:val="-7"/>
        </w:rPr>
        <w:t>件</w:t>
      </w:r>
      <w:r w:rsidRPr="00317BD8">
        <w:rPr>
          <w:rFonts w:ascii="宋体" w:eastAsia="宋体" w:hAnsi="宋体" w:cs="宋体"/>
          <w:spacing w:val="-7"/>
        </w:rPr>
        <w:t>。</w:t>
      </w:r>
    </w:p>
    <w:p w14:paraId="6F719CF3" w14:textId="77777777" w:rsidR="00BF1963" w:rsidRPr="00317BD8" w:rsidRDefault="00250D17">
      <w:pPr>
        <w:pStyle w:val="a1"/>
        <w:numPr>
          <w:ilvl w:val="2"/>
          <w:numId w:val="3"/>
        </w:numPr>
        <w:spacing w:beforeLines="0" w:afterLines="0"/>
        <w:rPr>
          <w:rFonts w:ascii="宋体" w:eastAsia="宋体" w:hAnsi="宋体" w:cs="宋体"/>
          <w:spacing w:val="-7"/>
        </w:rPr>
      </w:pPr>
      <w:r w:rsidRPr="00317BD8">
        <w:rPr>
          <w:rFonts w:ascii="宋体" w:eastAsia="宋体" w:hAnsi="宋体" w:cs="宋体" w:hint="eastAsia"/>
          <w:spacing w:val="-7"/>
        </w:rPr>
        <w:t>链轮轴组安放处圆弧尺寸磨损不大于0.2 mm 时，可作为直接使用件，磨损大于0.2mm不足4mm时，可作为可再制造件；</w:t>
      </w:r>
      <w:r w:rsidRPr="00317BD8">
        <w:rPr>
          <w:rFonts w:ascii="宋体" w:eastAsia="宋体" w:hAnsi="宋体" w:cs="宋体" w:hint="eastAsia"/>
        </w:rPr>
        <w:t>当磨损量超出再制造工艺范围时，可作为弃用件。</w:t>
      </w:r>
    </w:p>
    <w:p w14:paraId="749EFAC1" w14:textId="77777777" w:rsidR="00BF1963" w:rsidRPr="00317BD8" w:rsidRDefault="00250D17">
      <w:pPr>
        <w:pStyle w:val="a1"/>
        <w:numPr>
          <w:ilvl w:val="2"/>
          <w:numId w:val="3"/>
        </w:numPr>
        <w:spacing w:beforeLines="0" w:afterLines="0"/>
        <w:rPr>
          <w:rFonts w:ascii="宋体" w:eastAsia="宋体" w:hAnsi="宋体" w:cs="宋体"/>
          <w:spacing w:val="-7"/>
        </w:rPr>
      </w:pPr>
      <w:r w:rsidRPr="00317BD8">
        <w:rPr>
          <w:rFonts w:ascii="宋体" w:eastAsia="宋体" w:hAnsi="宋体" w:cs="宋体" w:hint="eastAsia"/>
          <w:spacing w:val="-7"/>
        </w:rPr>
        <w:t>各孔如有变形可再制造修复。</w:t>
      </w:r>
    </w:p>
    <w:p w14:paraId="1206AE49" w14:textId="77777777" w:rsidR="00BF1963" w:rsidRPr="00317BD8" w:rsidRDefault="00250D17">
      <w:pPr>
        <w:pStyle w:val="a1"/>
        <w:numPr>
          <w:ilvl w:val="2"/>
          <w:numId w:val="3"/>
        </w:numPr>
        <w:spacing w:beforeLines="0" w:afterLines="0"/>
        <w:rPr>
          <w:rFonts w:ascii="宋体" w:eastAsia="宋体" w:hAnsi="宋体" w:cs="宋体"/>
          <w:spacing w:val="-7"/>
        </w:rPr>
      </w:pPr>
      <w:r w:rsidRPr="00317BD8">
        <w:rPr>
          <w:rFonts w:ascii="宋体" w:eastAsia="宋体" w:hAnsi="宋体" w:cs="宋体" w:hint="eastAsia"/>
          <w:spacing w:val="-7"/>
        </w:rPr>
        <w:t>压链器连接牢固，</w:t>
      </w:r>
      <w:r w:rsidRPr="00317BD8">
        <w:rPr>
          <w:rFonts w:ascii="宋体" w:eastAsia="宋体" w:hAnsi="宋体" w:cs="宋体" w:hint="eastAsia"/>
        </w:rPr>
        <w:t>满足原型新品的质量保证要求时</w:t>
      </w:r>
      <w:r w:rsidRPr="00317BD8">
        <w:rPr>
          <w:rFonts w:ascii="宋体" w:eastAsia="宋体" w:hAnsi="宋体" w:cs="宋体" w:hint="eastAsia"/>
          <w:spacing w:val="-7"/>
        </w:rPr>
        <w:t>，可作为直接使用件；磨损大于 4mm不足6mm时，可作为可再制造件；</w:t>
      </w:r>
      <w:r w:rsidRPr="00317BD8">
        <w:rPr>
          <w:rFonts w:ascii="宋体" w:eastAsia="宋体" w:hAnsi="宋体" w:cs="宋体" w:hint="eastAsia"/>
        </w:rPr>
        <w:t>当磨损量超出再制造工艺范围时，可作为弃用件。</w:t>
      </w:r>
    </w:p>
    <w:p w14:paraId="2558D6DA" w14:textId="77777777" w:rsidR="00BF1963" w:rsidRPr="00317BD8" w:rsidRDefault="00250D17">
      <w:pPr>
        <w:pStyle w:val="a1"/>
        <w:numPr>
          <w:ilvl w:val="2"/>
          <w:numId w:val="3"/>
        </w:numPr>
        <w:spacing w:beforeLines="0" w:afterLines="0"/>
        <w:rPr>
          <w:rFonts w:ascii="宋体" w:eastAsia="宋体" w:hAnsi="宋体" w:cs="宋体"/>
          <w:spacing w:val="-7"/>
        </w:rPr>
      </w:pPr>
      <w:r w:rsidRPr="00317BD8">
        <w:rPr>
          <w:rFonts w:ascii="宋体" w:eastAsia="宋体" w:hAnsi="宋体" w:cs="宋体" w:hint="eastAsia"/>
          <w:spacing w:val="-7"/>
        </w:rPr>
        <w:t>螺栓、螺母全部更换新件。</w:t>
      </w:r>
    </w:p>
    <w:p w14:paraId="5C3722BD" w14:textId="77777777" w:rsidR="00BF1963" w:rsidRPr="00317BD8" w:rsidRDefault="00BF1963">
      <w:pPr>
        <w:rPr>
          <w:rFonts w:asciiTheme="minorEastAsia" w:hAnsiTheme="minorEastAsia" w:cstheme="minorEastAsia"/>
          <w:szCs w:val="21"/>
        </w:rPr>
      </w:pPr>
    </w:p>
    <w:p w14:paraId="4A3C99AE" w14:textId="77777777" w:rsidR="00BF1963" w:rsidRPr="00317BD8" w:rsidRDefault="00250D17">
      <w:pPr>
        <w:pStyle w:val="a"/>
        <w:numPr>
          <w:ilvl w:val="1"/>
          <w:numId w:val="3"/>
        </w:numPr>
        <w:rPr>
          <w:rFonts w:ascii="黑体" w:eastAsia="黑体" w:hAnsi="黑体" w:cs="黑体"/>
        </w:rPr>
      </w:pPr>
      <w:r w:rsidRPr="00317BD8">
        <w:rPr>
          <w:rFonts w:ascii="黑体" w:eastAsia="黑体" w:hAnsi="黑体" w:cs="黑体" w:hint="eastAsia"/>
        </w:rPr>
        <w:t>紧链器</w:t>
      </w:r>
    </w:p>
    <w:p w14:paraId="11E08D11" w14:textId="77777777" w:rsidR="00BF1963" w:rsidRPr="00317BD8" w:rsidRDefault="00BF1963">
      <w:pPr>
        <w:rPr>
          <w:rFonts w:asciiTheme="minorEastAsia" w:hAnsiTheme="minorEastAsia" w:cstheme="minorEastAsia"/>
          <w:szCs w:val="21"/>
        </w:rPr>
      </w:pPr>
    </w:p>
    <w:p w14:paraId="6E908B62"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闸盘式紧链器刹车片磨损不大于 1mm，整体制动行程不大于3.5 mm 时，可作为直接使用件；当磨损量超出再制造工艺范围时，</w:t>
      </w:r>
      <w:r w:rsidRPr="00317BD8">
        <w:rPr>
          <w:rFonts w:ascii="宋体" w:eastAsia="宋体" w:hAnsi="宋体" w:cs="宋体" w:hint="eastAsia"/>
          <w:spacing w:val="-7"/>
        </w:rPr>
        <w:t>可作为</w:t>
      </w:r>
      <w:r w:rsidRPr="00317BD8">
        <w:rPr>
          <w:rFonts w:ascii="宋体" w:eastAsia="宋体" w:hAnsi="宋体" w:cs="宋体"/>
          <w:spacing w:val="-7"/>
        </w:rPr>
        <w:t>弃用</w:t>
      </w:r>
      <w:r w:rsidRPr="00317BD8">
        <w:rPr>
          <w:rFonts w:ascii="宋体" w:eastAsia="宋体" w:hAnsi="宋体" w:cs="宋体" w:hint="eastAsia"/>
          <w:spacing w:val="-7"/>
        </w:rPr>
        <w:t>件</w:t>
      </w:r>
      <w:r w:rsidRPr="00317BD8">
        <w:rPr>
          <w:rFonts w:ascii="宋体" w:eastAsia="宋体" w:hAnsi="宋体" w:cs="宋体"/>
          <w:spacing w:val="-7"/>
        </w:rPr>
        <w:t>。</w:t>
      </w:r>
    </w:p>
    <w:p w14:paraId="3A401002"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液压马达紧链器再制造后，满足使用性能并达到质量保证要求的，可作为可再制造件；</w:t>
      </w:r>
      <w:r w:rsidRPr="00317BD8">
        <w:rPr>
          <w:rFonts w:ascii="宋体" w:eastAsia="宋体" w:hAnsi="宋体" w:cs="宋体" w:hint="eastAsia"/>
          <w:spacing w:val="-5"/>
        </w:rPr>
        <w:t>当缺陷</w:t>
      </w:r>
      <w:r w:rsidRPr="00317BD8">
        <w:rPr>
          <w:rFonts w:ascii="宋体" w:eastAsia="宋体" w:hAnsi="宋体" w:cs="宋体" w:hint="eastAsia"/>
        </w:rPr>
        <w:t>超出再制造工艺范围时，</w:t>
      </w:r>
      <w:r w:rsidRPr="00317BD8">
        <w:rPr>
          <w:rFonts w:ascii="宋体" w:eastAsia="宋体" w:hAnsi="宋体" w:cs="宋体" w:hint="eastAsia"/>
          <w:spacing w:val="-7"/>
        </w:rPr>
        <w:t>可作为</w:t>
      </w:r>
      <w:r w:rsidRPr="00317BD8">
        <w:rPr>
          <w:rFonts w:ascii="宋体" w:eastAsia="宋体" w:hAnsi="宋体" w:cs="宋体"/>
          <w:spacing w:val="-7"/>
        </w:rPr>
        <w:t>弃用</w:t>
      </w:r>
      <w:r w:rsidRPr="00317BD8">
        <w:rPr>
          <w:rFonts w:ascii="宋体" w:eastAsia="宋体" w:hAnsi="宋体" w:cs="宋体" w:hint="eastAsia"/>
          <w:spacing w:val="-7"/>
        </w:rPr>
        <w:t>件</w:t>
      </w:r>
      <w:r w:rsidRPr="00317BD8">
        <w:rPr>
          <w:rFonts w:ascii="宋体" w:eastAsia="宋体" w:hAnsi="宋体" w:cs="宋体"/>
          <w:spacing w:val="-7"/>
        </w:rPr>
        <w:t>。</w:t>
      </w:r>
    </w:p>
    <w:p w14:paraId="46B2FBA9" w14:textId="77777777" w:rsidR="00BF1963" w:rsidRPr="00317BD8" w:rsidRDefault="00BF1963">
      <w:pPr>
        <w:pStyle w:val="ad"/>
      </w:pPr>
    </w:p>
    <w:p w14:paraId="5B6D618D" w14:textId="77777777" w:rsidR="00BF1963" w:rsidRPr="00317BD8" w:rsidRDefault="00250D17">
      <w:pPr>
        <w:pStyle w:val="a"/>
        <w:numPr>
          <w:ilvl w:val="1"/>
          <w:numId w:val="3"/>
        </w:numPr>
        <w:rPr>
          <w:rFonts w:ascii="黑体" w:eastAsia="黑体" w:hAnsi="黑体" w:cs="黑体"/>
        </w:rPr>
      </w:pPr>
      <w:r w:rsidRPr="00317BD8">
        <w:rPr>
          <w:rFonts w:ascii="黑体" w:eastAsia="黑体" w:hAnsi="黑体" w:cs="黑体" w:hint="eastAsia"/>
        </w:rPr>
        <w:t>传动</w:t>
      </w:r>
      <w:r w:rsidRPr="00317BD8">
        <w:rPr>
          <w:rFonts w:ascii="黑体" w:eastAsia="黑体" w:hAnsi="黑体" w:cs="黑体"/>
        </w:rPr>
        <w:t>装置</w:t>
      </w:r>
    </w:p>
    <w:p w14:paraId="0E44524A" w14:textId="77777777" w:rsidR="00BF1963" w:rsidRPr="00317BD8" w:rsidRDefault="00BF1963">
      <w:pPr>
        <w:rPr>
          <w:rFonts w:ascii="黑体" w:eastAsia="黑体" w:hAnsi="黑体" w:cs="黑体"/>
          <w:szCs w:val="21"/>
        </w:rPr>
      </w:pPr>
    </w:p>
    <w:p w14:paraId="6E15A238"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联接罩无开焊、尺寸满足原型新品的质量保证要求时，可作为直接使用件；联接罩无开焊、定位孔、定位止口磨损不大于2mm时，可作为可再制造件；</w:t>
      </w:r>
      <w:r w:rsidRPr="00317BD8">
        <w:rPr>
          <w:rFonts w:ascii="宋体" w:eastAsia="宋体" w:hAnsi="宋体" w:cs="宋体" w:hint="eastAsia"/>
          <w:spacing w:val="-5"/>
        </w:rPr>
        <w:t>当缺陷</w:t>
      </w:r>
      <w:r w:rsidRPr="00317BD8">
        <w:rPr>
          <w:rFonts w:ascii="宋体" w:eastAsia="宋体" w:hAnsi="宋体" w:cs="宋体" w:hint="eastAsia"/>
        </w:rPr>
        <w:t>超出再制造工艺范围时，可作为弃用件。</w:t>
      </w:r>
    </w:p>
    <w:p w14:paraId="4EFD272B"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紧固件、密封件和胶管、接头等零部件全部更换新件。</w:t>
      </w:r>
    </w:p>
    <w:p w14:paraId="60D47AF4"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液力偶合器再制造后，满足使用性能并达到保质要求的，可作为可再制造件；</w:t>
      </w:r>
      <w:r w:rsidRPr="00317BD8">
        <w:rPr>
          <w:rFonts w:ascii="宋体" w:eastAsia="宋体" w:hAnsi="宋体" w:cs="宋体" w:hint="eastAsia"/>
          <w:spacing w:val="-5"/>
        </w:rPr>
        <w:t>当缺陷</w:t>
      </w:r>
      <w:r w:rsidRPr="00317BD8">
        <w:rPr>
          <w:rFonts w:ascii="宋体" w:eastAsia="宋体" w:hAnsi="宋体" w:cs="宋体" w:hint="eastAsia"/>
        </w:rPr>
        <w:t>超出再制造工艺范围时，可作为弃用件。</w:t>
      </w:r>
    </w:p>
    <w:p w14:paraId="527DD6C7"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电动机再制造后，满足使用性能并达到保质要求的，可作为可再制造件；</w:t>
      </w:r>
      <w:r w:rsidRPr="00317BD8">
        <w:rPr>
          <w:rFonts w:ascii="宋体" w:eastAsia="宋体" w:hAnsi="宋体" w:cs="宋体" w:hint="eastAsia"/>
          <w:spacing w:val="-5"/>
        </w:rPr>
        <w:t>当缺陷</w:t>
      </w:r>
      <w:r w:rsidRPr="00317BD8">
        <w:rPr>
          <w:rFonts w:ascii="宋体" w:eastAsia="宋体" w:hAnsi="宋体" w:cs="宋体" w:hint="eastAsia"/>
        </w:rPr>
        <w:t>超出再制造工艺范围时，可作为弃用件。</w:t>
      </w:r>
    </w:p>
    <w:p w14:paraId="40A57EF6"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减速器再制造后，满足使用性能并达到保质要求的，可作为可再制造件；</w:t>
      </w:r>
      <w:r w:rsidRPr="00317BD8">
        <w:rPr>
          <w:rFonts w:ascii="宋体" w:eastAsia="宋体" w:hAnsi="宋体" w:cs="宋体" w:hint="eastAsia"/>
          <w:spacing w:val="-5"/>
        </w:rPr>
        <w:t>当缺陷</w:t>
      </w:r>
      <w:r w:rsidRPr="00317BD8">
        <w:rPr>
          <w:rFonts w:ascii="宋体" w:eastAsia="宋体" w:hAnsi="宋体" w:cs="宋体" w:hint="eastAsia"/>
        </w:rPr>
        <w:t>超出再制造工艺范围时，可作为弃用件。</w:t>
      </w:r>
    </w:p>
    <w:p w14:paraId="28048813"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联轴器的弹性元件应更换新件。</w:t>
      </w:r>
    </w:p>
    <w:p w14:paraId="50E4F92C"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lastRenderedPageBreak/>
        <w:t>限矩器再制造后，满足使用性能并达到保质要求的，可作为可再制造件；</w:t>
      </w:r>
      <w:r w:rsidRPr="00317BD8">
        <w:rPr>
          <w:rFonts w:ascii="宋体" w:eastAsia="宋体" w:hAnsi="宋体" w:cs="宋体" w:hint="eastAsia"/>
          <w:spacing w:val="-5"/>
        </w:rPr>
        <w:t>当缺陷</w:t>
      </w:r>
      <w:r w:rsidRPr="00317BD8">
        <w:rPr>
          <w:rFonts w:ascii="宋体" w:eastAsia="宋体" w:hAnsi="宋体" w:cs="宋体" w:hint="eastAsia"/>
        </w:rPr>
        <w:t>超出再制造工艺范围时，可作为弃用件。</w:t>
      </w:r>
    </w:p>
    <w:p w14:paraId="7B37F6A1" w14:textId="77777777" w:rsidR="00BF1963" w:rsidRPr="00317BD8" w:rsidRDefault="00250D17">
      <w:pPr>
        <w:pStyle w:val="a"/>
        <w:numPr>
          <w:ilvl w:val="1"/>
          <w:numId w:val="3"/>
        </w:numPr>
        <w:rPr>
          <w:rFonts w:ascii="黑体" w:eastAsia="黑体" w:hAnsi="黑体" w:cs="黑体"/>
        </w:rPr>
      </w:pPr>
      <w:r w:rsidRPr="00317BD8">
        <w:rPr>
          <w:rFonts w:ascii="黑体" w:eastAsia="黑体" w:hAnsi="黑体" w:cs="黑体" w:hint="eastAsia"/>
        </w:rPr>
        <w:t>护板、</w:t>
      </w:r>
      <w:r w:rsidRPr="00317BD8">
        <w:rPr>
          <w:rFonts w:ascii="黑体" w:eastAsia="黑体" w:hAnsi="黑体" w:cs="黑体"/>
        </w:rPr>
        <w:t>分链器</w:t>
      </w:r>
    </w:p>
    <w:p w14:paraId="2CFD830A"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护板、分链器无变形，运转时无卡阻现象，满足使用性能并达到保质要求的，可作为直接使用件；磨损量不大于原型新品要求的10%，可作为可再制造件。</w:t>
      </w:r>
      <w:r w:rsidRPr="00317BD8">
        <w:rPr>
          <w:rFonts w:ascii="宋体" w:eastAsia="宋体" w:hAnsi="宋体" w:cs="宋体" w:hint="eastAsia"/>
          <w:spacing w:val="-5"/>
        </w:rPr>
        <w:t>当缺陷</w:t>
      </w:r>
      <w:r w:rsidRPr="00317BD8">
        <w:rPr>
          <w:rFonts w:ascii="宋体" w:eastAsia="宋体" w:hAnsi="宋体" w:cs="宋体" w:hint="eastAsia"/>
        </w:rPr>
        <w:t>超出再制造工艺范围时，可作为弃用件。</w:t>
      </w:r>
    </w:p>
    <w:p w14:paraId="1498D68D" w14:textId="77777777" w:rsidR="00BF1963" w:rsidRPr="00317BD8" w:rsidRDefault="00BF1963">
      <w:pPr>
        <w:pStyle w:val="ad"/>
        <w:ind w:left="425"/>
      </w:pPr>
    </w:p>
    <w:p w14:paraId="466B9060" w14:textId="77777777" w:rsidR="00BF1963" w:rsidRPr="00317BD8" w:rsidRDefault="00BF1963">
      <w:pPr>
        <w:pStyle w:val="ad"/>
      </w:pPr>
    </w:p>
    <w:p w14:paraId="278E92B6" w14:textId="77777777" w:rsidR="00BF1963" w:rsidRPr="00317BD8" w:rsidRDefault="00250D17">
      <w:pPr>
        <w:numPr>
          <w:ilvl w:val="1"/>
          <w:numId w:val="3"/>
        </w:numPr>
        <w:rPr>
          <w:rFonts w:ascii="黑体" w:eastAsia="黑体" w:hAnsi="黑体" w:cs="黑体"/>
          <w:szCs w:val="21"/>
        </w:rPr>
      </w:pPr>
      <w:r w:rsidRPr="00317BD8">
        <w:rPr>
          <w:rFonts w:ascii="黑体" w:eastAsia="黑体" w:hAnsi="黑体" w:cs="黑体"/>
          <w:szCs w:val="21"/>
        </w:rPr>
        <w:t>中部槽</w:t>
      </w:r>
      <w:r w:rsidRPr="00317BD8">
        <w:rPr>
          <w:rFonts w:ascii="黑体" w:eastAsia="黑体" w:hAnsi="黑体" w:cs="黑体" w:hint="eastAsia"/>
          <w:szCs w:val="21"/>
        </w:rPr>
        <w:t>、</w:t>
      </w:r>
      <w:r w:rsidRPr="00317BD8">
        <w:rPr>
          <w:rFonts w:ascii="黑体" w:eastAsia="黑体" w:hAnsi="黑体" w:cs="黑体"/>
          <w:szCs w:val="21"/>
        </w:rPr>
        <w:t>特殊槽、</w:t>
      </w:r>
      <w:r w:rsidRPr="00317BD8">
        <w:rPr>
          <w:rFonts w:ascii="黑体" w:eastAsia="黑体" w:hAnsi="黑体" w:cs="黑体" w:hint="eastAsia"/>
          <w:szCs w:val="21"/>
        </w:rPr>
        <w:t>过渡槽</w:t>
      </w:r>
      <w:r w:rsidRPr="00317BD8">
        <w:rPr>
          <w:rFonts w:ascii="黑体" w:eastAsia="黑体" w:hAnsi="黑体" w:cs="黑体"/>
          <w:szCs w:val="21"/>
        </w:rPr>
        <w:t>（</w:t>
      </w:r>
      <w:r w:rsidRPr="00317BD8">
        <w:rPr>
          <w:rFonts w:ascii="黑体" w:eastAsia="黑体" w:hAnsi="黑体" w:cs="黑体" w:hint="eastAsia"/>
          <w:szCs w:val="21"/>
        </w:rPr>
        <w:t>变线</w:t>
      </w:r>
      <w:r w:rsidRPr="00317BD8">
        <w:rPr>
          <w:rFonts w:ascii="黑体" w:eastAsia="黑体" w:hAnsi="黑体" w:cs="黑体"/>
          <w:szCs w:val="21"/>
        </w:rPr>
        <w:t>槽、</w:t>
      </w:r>
      <w:r w:rsidRPr="00317BD8">
        <w:rPr>
          <w:rFonts w:ascii="黑体" w:eastAsia="黑体" w:hAnsi="黑体" w:cs="黑体" w:hint="eastAsia"/>
          <w:szCs w:val="21"/>
        </w:rPr>
        <w:t>抬高槽</w:t>
      </w:r>
      <w:r w:rsidRPr="00317BD8">
        <w:rPr>
          <w:rFonts w:ascii="黑体" w:eastAsia="黑体" w:hAnsi="黑体" w:cs="黑体"/>
          <w:szCs w:val="21"/>
        </w:rPr>
        <w:t>、调节槽）</w:t>
      </w:r>
    </w:p>
    <w:p w14:paraId="239F0FCF" w14:textId="77777777" w:rsidR="00BF1963" w:rsidRPr="00317BD8" w:rsidRDefault="00BF1963">
      <w:pPr>
        <w:pStyle w:val="a1"/>
        <w:numPr>
          <w:ilvl w:val="0"/>
          <w:numId w:val="0"/>
        </w:numPr>
        <w:spacing w:beforeLines="0" w:afterLines="0"/>
        <w:rPr>
          <w:rFonts w:ascii="宋体" w:eastAsia="宋体" w:hAnsi="宋体" w:cs="宋体"/>
        </w:rPr>
      </w:pPr>
    </w:p>
    <w:p w14:paraId="282E3AD0"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 xml:space="preserve">中板、底板满足原型新品的质量保证要求时，可作为直接使用件；磨损量不大于原型新品厚度的 </w:t>
      </w:r>
      <w:r w:rsidRPr="00317BD8">
        <w:rPr>
          <w:rFonts w:ascii="宋体" w:eastAsia="宋体" w:hAnsi="宋体" w:cs="宋体"/>
        </w:rPr>
        <w:t>15</w:t>
      </w:r>
      <w:r w:rsidRPr="00317BD8">
        <w:rPr>
          <w:rFonts w:ascii="宋体" w:eastAsia="宋体" w:hAnsi="宋体" w:cs="宋体" w:hint="eastAsia"/>
          <w:spacing w:val="-5"/>
        </w:rPr>
        <w:t>%，可作为可再</w:t>
      </w:r>
      <w:r w:rsidRPr="00317BD8">
        <w:rPr>
          <w:rFonts w:ascii="宋体" w:eastAsia="宋体" w:hAnsi="宋体" w:cs="宋体" w:hint="eastAsia"/>
        </w:rPr>
        <w:t>制造件；</w:t>
      </w:r>
      <w:r w:rsidRPr="00317BD8">
        <w:rPr>
          <w:rFonts w:ascii="宋体" w:eastAsia="宋体" w:hAnsi="宋体" w:cs="宋体" w:hint="eastAsia"/>
          <w:spacing w:val="-5"/>
        </w:rPr>
        <w:t>当缺陷超出再制造工艺范围时，</w:t>
      </w:r>
      <w:r w:rsidRPr="00317BD8">
        <w:rPr>
          <w:rFonts w:ascii="宋体" w:eastAsia="宋体" w:hAnsi="宋体" w:cs="宋体" w:hint="eastAsia"/>
        </w:rPr>
        <w:t>可作为弃用件。</w:t>
      </w:r>
    </w:p>
    <w:p w14:paraId="10930366"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中部槽搭接舌板无卷边、连接部位无开焊、断裂，满足原型新品的质量保证要求时，可作为直接使用件；磨损量不大于原型新品厚度的5%时，可作为可再制造件；当缺陷超出再制造工艺范围时，可作为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72F61E9E"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中部槽槽帮上下边缘满足原型新品的质量保证要求时，可作为直接使用件；磨损不大于原型新品厚度的</w:t>
      </w:r>
      <w:r w:rsidRPr="00317BD8">
        <w:rPr>
          <w:rFonts w:ascii="宋体" w:eastAsia="宋体" w:hAnsi="宋体" w:cs="宋体"/>
        </w:rPr>
        <w:t>20</w:t>
      </w:r>
      <w:r w:rsidRPr="00317BD8">
        <w:rPr>
          <w:rFonts w:ascii="宋体" w:eastAsia="宋体" w:hAnsi="宋体" w:cs="宋体" w:hint="eastAsia"/>
        </w:rPr>
        <w:t>%，可作为可再制造</w:t>
      </w:r>
      <w:r w:rsidRPr="00317BD8">
        <w:rPr>
          <w:rFonts w:ascii="宋体" w:eastAsia="宋体" w:hAnsi="宋体" w:cs="宋体"/>
        </w:rPr>
        <w:t>件</w:t>
      </w:r>
      <w:r w:rsidRPr="00317BD8">
        <w:rPr>
          <w:rFonts w:ascii="宋体" w:eastAsia="宋体" w:hAnsi="宋体" w:cs="宋体" w:hint="eastAsia"/>
        </w:rPr>
        <w:t>；当缺陷超出再制造工艺范围时，可作为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670186F0"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开天窗槽的插板无明显变形、连接牢固，满足原型新品的质量保证要求时，可作为</w:t>
      </w:r>
      <w:r w:rsidRPr="00317BD8">
        <w:rPr>
          <w:rFonts w:ascii="宋体" w:eastAsia="宋体" w:hAnsi="宋体" w:cs="宋体"/>
        </w:rPr>
        <w:t>直接使用件</w:t>
      </w:r>
      <w:r w:rsidRPr="00317BD8">
        <w:rPr>
          <w:rFonts w:ascii="宋体" w:eastAsia="宋体" w:hAnsi="宋体" w:cs="宋体" w:hint="eastAsia"/>
        </w:rPr>
        <w:t>。当缺陷超出再制造工艺范围时，可作为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40A282A0"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销排座（齿轨座）无明显变形和破损，销孔变形量不大于原型新品的</w:t>
      </w:r>
      <w:r w:rsidRPr="00317BD8">
        <w:rPr>
          <w:rFonts w:ascii="宋体" w:eastAsia="宋体" w:hAnsi="宋体" w:cs="宋体"/>
        </w:rPr>
        <w:t>3</w:t>
      </w:r>
      <w:r w:rsidRPr="00317BD8">
        <w:rPr>
          <w:rFonts w:ascii="宋体" w:eastAsia="宋体" w:hAnsi="宋体" w:cs="宋体" w:hint="eastAsia"/>
        </w:rPr>
        <w:t>%，满足原型新品的质量保证要求时，可作为直接使用件；销孔变形量不大于原型新品的10%时，可作为可再制造件；当缺陷超出再制造工艺范围时，可作为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3579FB02"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 xml:space="preserve">中部槽内宽满足原型新品的质量保证要求时，可作为直接使用件；磨损量不大于原型新品的 </w:t>
      </w:r>
      <w:r w:rsidRPr="00317BD8">
        <w:rPr>
          <w:rFonts w:ascii="宋体" w:eastAsia="宋体" w:hAnsi="宋体" w:cs="宋体"/>
        </w:rPr>
        <w:t>20</w:t>
      </w:r>
      <w:r w:rsidRPr="00317BD8">
        <w:rPr>
          <w:rFonts w:ascii="宋体" w:eastAsia="宋体" w:hAnsi="宋体" w:cs="宋体" w:hint="eastAsia"/>
        </w:rPr>
        <w:t>%，可作为可再制造件；当缺陷超出再制造工艺范围时，可作为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239F4F20"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特殊槽</w:t>
      </w:r>
      <w:r w:rsidRPr="00317BD8">
        <w:rPr>
          <w:rFonts w:ascii="宋体" w:eastAsia="宋体" w:hAnsi="宋体" w:cs="宋体"/>
        </w:rPr>
        <w:t>（</w:t>
      </w:r>
      <w:r w:rsidRPr="00317BD8">
        <w:rPr>
          <w:rFonts w:ascii="宋体" w:eastAsia="宋体" w:hAnsi="宋体" w:cs="宋体" w:hint="eastAsia"/>
        </w:rPr>
        <w:t>变线槽</w:t>
      </w:r>
      <w:r w:rsidRPr="00317BD8">
        <w:rPr>
          <w:rFonts w:ascii="宋体" w:eastAsia="宋体" w:hAnsi="宋体" w:cs="宋体"/>
        </w:rPr>
        <w:t>、抬高槽、调节槽）</w:t>
      </w:r>
      <w:r w:rsidRPr="00317BD8">
        <w:rPr>
          <w:rFonts w:ascii="宋体" w:eastAsia="宋体" w:hAnsi="宋体" w:cs="宋体" w:hint="eastAsia"/>
        </w:rPr>
        <w:t>无</w:t>
      </w:r>
      <w:r w:rsidRPr="00317BD8">
        <w:rPr>
          <w:rFonts w:ascii="宋体" w:eastAsia="宋体" w:hAnsi="宋体" w:cs="宋体"/>
        </w:rPr>
        <w:t>明显变形，过渡顺畅</w:t>
      </w:r>
      <w:r w:rsidRPr="00317BD8">
        <w:rPr>
          <w:rFonts w:ascii="宋体" w:eastAsia="宋体" w:hAnsi="宋体" w:cs="宋体" w:hint="eastAsia"/>
        </w:rPr>
        <w:t>，满足原型新品的质量保证要求时，</w:t>
      </w:r>
      <w:r w:rsidRPr="00317BD8">
        <w:rPr>
          <w:rFonts w:ascii="宋体" w:eastAsia="宋体" w:hAnsi="宋体" w:cs="宋体"/>
        </w:rPr>
        <w:t>可作为直接使用件</w:t>
      </w:r>
      <w:r w:rsidRPr="00317BD8">
        <w:rPr>
          <w:rFonts w:ascii="宋体" w:eastAsia="宋体" w:hAnsi="宋体" w:cs="宋体" w:hint="eastAsia"/>
        </w:rPr>
        <w:t>；满足以上中部槽再制造条件或再制造后满足原型新品性能时，可作为可再制造件；当缺陷超出再制造工艺范围时，可作为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31AB3879"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铲煤板外圆加焊和明显变形，刃口无卷边，满足原型新品的质量保证要求时，可作为直接使用件；磨损不超过原型新品的</w:t>
      </w:r>
      <w:r w:rsidRPr="00317BD8">
        <w:rPr>
          <w:rFonts w:ascii="宋体" w:eastAsia="宋体" w:hAnsi="宋体" w:cs="宋体"/>
        </w:rPr>
        <w:t>20</w:t>
      </w:r>
      <w:r w:rsidRPr="00317BD8">
        <w:rPr>
          <w:rFonts w:ascii="宋体" w:eastAsia="宋体" w:hAnsi="宋体" w:cs="宋体" w:hint="eastAsia"/>
        </w:rPr>
        <w:t>%时，可作为可再制造</w:t>
      </w:r>
      <w:r w:rsidRPr="00317BD8">
        <w:rPr>
          <w:rFonts w:ascii="宋体" w:eastAsia="宋体" w:hAnsi="宋体" w:cs="宋体"/>
        </w:rPr>
        <w:t>件</w:t>
      </w:r>
      <w:r w:rsidRPr="00317BD8">
        <w:rPr>
          <w:rFonts w:ascii="宋体" w:eastAsia="宋体" w:hAnsi="宋体" w:cs="宋体" w:hint="eastAsia"/>
        </w:rPr>
        <w:t>；当缺陷超出再制造工艺范围时，可作为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10A23621" w14:textId="77777777" w:rsidR="00BF1963" w:rsidRPr="00317BD8" w:rsidRDefault="00BF1963">
      <w:pPr>
        <w:pStyle w:val="ad"/>
      </w:pPr>
    </w:p>
    <w:p w14:paraId="3A033DFF" w14:textId="77777777" w:rsidR="00BF1963" w:rsidRPr="00317BD8" w:rsidRDefault="00250D17">
      <w:pPr>
        <w:numPr>
          <w:ilvl w:val="1"/>
          <w:numId w:val="3"/>
        </w:numPr>
        <w:rPr>
          <w:rFonts w:ascii="黑体" w:eastAsia="黑体" w:hAnsi="黑体" w:cs="黑体"/>
          <w:szCs w:val="21"/>
        </w:rPr>
      </w:pPr>
      <w:r w:rsidRPr="00317BD8">
        <w:rPr>
          <w:rFonts w:ascii="黑体" w:eastAsia="黑体" w:hAnsi="黑体" w:cs="黑体" w:hint="eastAsia"/>
          <w:szCs w:val="21"/>
        </w:rPr>
        <w:t>附件</w:t>
      </w:r>
    </w:p>
    <w:p w14:paraId="296E2758" w14:textId="77777777" w:rsidR="00BF1963" w:rsidRPr="00317BD8" w:rsidRDefault="00BF1963">
      <w:pPr>
        <w:pStyle w:val="ad"/>
      </w:pPr>
    </w:p>
    <w:p w14:paraId="01E82E4B"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电缆槽、电缆槽夹板无开焊，其变形量不超过原槽宽的5%，局部无棱角或弯曲，可作为</w:t>
      </w:r>
      <w:r w:rsidRPr="00317BD8">
        <w:rPr>
          <w:rFonts w:ascii="宋体" w:eastAsia="宋体" w:hAnsi="宋体" w:cs="宋体"/>
        </w:rPr>
        <w:t>直接使用件</w:t>
      </w:r>
      <w:r w:rsidRPr="00317BD8">
        <w:rPr>
          <w:rFonts w:ascii="宋体" w:eastAsia="宋体" w:hAnsi="宋体" w:cs="宋体" w:hint="eastAsia"/>
        </w:rPr>
        <w:t>；出现开焊，槽宽变形量超过原型新品的15%时，可作为可再制造件；当缺陷超出再制造工艺范围时，作为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4344A61F" w14:textId="77777777" w:rsidR="00BF1963" w:rsidRPr="00317BD8" w:rsidRDefault="00250D17">
      <w:pPr>
        <w:pStyle w:val="a1"/>
        <w:numPr>
          <w:ilvl w:val="2"/>
          <w:numId w:val="3"/>
        </w:numPr>
        <w:spacing w:beforeLines="0" w:afterLines="0"/>
        <w:rPr>
          <w:rFonts w:ascii="宋体" w:eastAsia="宋体" w:hAnsi="宋体" w:cs="宋体"/>
        </w:rPr>
      </w:pPr>
      <w:r w:rsidRPr="00317BD8">
        <w:rPr>
          <w:rFonts w:ascii="宋体" w:eastAsia="宋体" w:hAnsi="宋体" w:cs="宋体" w:hint="eastAsia"/>
        </w:rPr>
        <w:t>齿轨齿面及孔满足原型新品的质量保证要求时，可作为直接使用件；磨损不大于原型新品的3%或再制造后满足原型新品性能时</w:t>
      </w:r>
      <w:r w:rsidRPr="00317BD8">
        <w:rPr>
          <w:rFonts w:ascii="宋体" w:eastAsia="宋体" w:hAnsi="宋体" w:cs="宋体" w:hint="eastAsia"/>
          <w:spacing w:val="-5"/>
        </w:rPr>
        <w:t>，可作为可再制造件；</w:t>
      </w:r>
      <w:r w:rsidRPr="00317BD8">
        <w:rPr>
          <w:rFonts w:ascii="宋体" w:eastAsia="宋体" w:hAnsi="宋体" w:cs="宋体" w:hint="eastAsia"/>
        </w:rPr>
        <w:t>当缺陷超出再制造工艺范围时，可作为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3BA5D9EB" w14:textId="77777777" w:rsidR="00BF1963" w:rsidRPr="00317BD8" w:rsidRDefault="00250D17">
      <w:pPr>
        <w:pStyle w:val="a1"/>
        <w:numPr>
          <w:ilvl w:val="2"/>
          <w:numId w:val="3"/>
        </w:numPr>
        <w:spacing w:beforeLines="0" w:afterLines="0"/>
      </w:pPr>
      <w:r w:rsidRPr="00317BD8">
        <w:rPr>
          <w:rFonts w:ascii="宋体" w:eastAsia="宋体" w:hAnsi="宋体" w:cs="宋体" w:hint="eastAsia"/>
        </w:rPr>
        <w:t>哑铃销伸长不超过3</w:t>
      </w:r>
      <w:r w:rsidRPr="00317BD8">
        <w:rPr>
          <w:rFonts w:ascii="宋体" w:eastAsia="宋体" w:hAnsi="宋体" w:cs="宋体" w:hint="eastAsia"/>
          <w:spacing w:val="-9"/>
        </w:rPr>
        <w:t>%、弯曲变形不超过</w:t>
      </w:r>
      <w:r w:rsidRPr="00317BD8">
        <w:rPr>
          <w:rFonts w:ascii="宋体" w:eastAsia="宋体" w:hAnsi="宋体" w:cs="宋体"/>
        </w:rPr>
        <w:t>5</w:t>
      </w:r>
      <w:r w:rsidRPr="00317BD8">
        <w:rPr>
          <w:rFonts w:ascii="宋体" w:eastAsia="宋体" w:hAnsi="宋体" w:cs="宋体" w:hint="eastAsia"/>
        </w:rPr>
        <w:t>mm时，可作为直接</w:t>
      </w:r>
      <w:r w:rsidRPr="00317BD8">
        <w:rPr>
          <w:rFonts w:ascii="宋体" w:eastAsia="宋体" w:hAnsi="宋体" w:cs="宋体"/>
        </w:rPr>
        <w:t>使用件</w:t>
      </w:r>
      <w:r w:rsidRPr="00317BD8">
        <w:rPr>
          <w:rFonts w:ascii="宋体" w:eastAsia="宋体" w:hAnsi="宋体" w:cs="宋体" w:hint="eastAsia"/>
        </w:rPr>
        <w:t>；当缺陷超出再制造工艺范围时，作为</w:t>
      </w:r>
      <w:r w:rsidRPr="00317BD8">
        <w:rPr>
          <w:rFonts w:ascii="宋体" w:eastAsia="宋体" w:hAnsi="宋体" w:cs="宋体"/>
        </w:rPr>
        <w:t>弃用</w:t>
      </w:r>
      <w:r w:rsidRPr="00317BD8">
        <w:rPr>
          <w:rFonts w:ascii="宋体" w:eastAsia="宋体" w:hAnsi="宋体" w:cs="宋体" w:hint="eastAsia"/>
        </w:rPr>
        <w:t>件</w:t>
      </w:r>
      <w:r w:rsidRPr="00317BD8">
        <w:rPr>
          <w:rFonts w:ascii="宋体" w:eastAsia="宋体" w:hAnsi="宋体" w:cs="宋体"/>
        </w:rPr>
        <w:t>。</w:t>
      </w:r>
    </w:p>
    <w:p w14:paraId="64A5D101" w14:textId="77777777" w:rsidR="00BF1963" w:rsidRPr="00317BD8" w:rsidRDefault="00250D17">
      <w:pPr>
        <w:pStyle w:val="a1"/>
        <w:numPr>
          <w:ilvl w:val="2"/>
          <w:numId w:val="3"/>
        </w:numPr>
        <w:spacing w:beforeLines="0" w:afterLines="0"/>
        <w:rPr>
          <w:rFonts w:hAnsi="黑体" w:cs="黑体"/>
        </w:rPr>
      </w:pPr>
      <w:r w:rsidRPr="00317BD8">
        <w:rPr>
          <w:rFonts w:ascii="宋体" w:eastAsia="宋体" w:hAnsi="宋体" w:cs="宋体" w:hint="eastAsia"/>
        </w:rPr>
        <w:t>链条磨损</w:t>
      </w:r>
      <w:r w:rsidRPr="00317BD8">
        <w:rPr>
          <w:rFonts w:ascii="宋体" w:eastAsia="宋体" w:hAnsi="宋体" w:cs="宋体"/>
        </w:rPr>
        <w:t>或</w:t>
      </w:r>
      <w:r w:rsidRPr="00317BD8">
        <w:rPr>
          <w:rFonts w:ascii="宋体" w:eastAsia="宋体" w:hAnsi="宋体" w:cs="宋体" w:hint="eastAsia"/>
        </w:rPr>
        <w:t>伸长量达到或</w:t>
      </w:r>
      <w:r w:rsidRPr="00317BD8">
        <w:rPr>
          <w:rFonts w:ascii="宋体" w:eastAsia="宋体" w:hAnsi="宋体" w:cs="宋体"/>
        </w:rPr>
        <w:t>超过</w:t>
      </w:r>
      <w:r w:rsidRPr="00317BD8">
        <w:rPr>
          <w:rFonts w:ascii="宋体" w:eastAsia="宋体" w:hAnsi="宋体" w:cs="宋体" w:hint="eastAsia"/>
        </w:rPr>
        <w:t>原型新品</w:t>
      </w:r>
      <w:r w:rsidRPr="00317BD8">
        <w:rPr>
          <w:rFonts w:ascii="宋体" w:eastAsia="宋体" w:hAnsi="宋体" w:cs="宋体"/>
        </w:rPr>
        <w:t>长度的</w:t>
      </w:r>
      <w:r w:rsidRPr="00317BD8">
        <w:rPr>
          <w:rFonts w:ascii="宋体" w:eastAsia="宋体" w:hAnsi="宋体" w:cs="宋体" w:hint="eastAsia"/>
        </w:rPr>
        <w:t>3</w:t>
      </w:r>
      <w:r w:rsidRPr="00317BD8">
        <w:rPr>
          <w:rFonts w:ascii="宋体" w:eastAsia="宋体" w:hAnsi="宋体" w:cs="宋体"/>
        </w:rPr>
        <w:t>%，</w:t>
      </w:r>
      <w:r w:rsidRPr="00317BD8">
        <w:rPr>
          <w:rFonts w:ascii="宋体" w:eastAsia="宋体" w:hAnsi="宋体" w:cs="宋体" w:hint="eastAsia"/>
        </w:rPr>
        <w:t>链环直径或链环截面磨损大于原型新品的10%，应</w:t>
      </w:r>
      <w:r w:rsidRPr="00317BD8">
        <w:rPr>
          <w:rFonts w:ascii="宋体" w:eastAsia="宋体" w:hAnsi="宋体" w:cs="宋体"/>
        </w:rPr>
        <w:t>更换新</w:t>
      </w:r>
      <w:r w:rsidRPr="00317BD8">
        <w:rPr>
          <w:rFonts w:ascii="宋体" w:eastAsia="宋体" w:hAnsi="宋体" w:cs="宋体" w:hint="eastAsia"/>
        </w:rPr>
        <w:t>件。</w:t>
      </w:r>
    </w:p>
    <w:p w14:paraId="484FFBE3" w14:textId="77777777" w:rsidR="00BF1963" w:rsidRPr="00317BD8" w:rsidRDefault="00250D17">
      <w:pPr>
        <w:pStyle w:val="a1"/>
        <w:numPr>
          <w:ilvl w:val="2"/>
          <w:numId w:val="3"/>
        </w:numPr>
        <w:spacing w:beforeLines="0" w:afterLines="0"/>
      </w:pPr>
      <w:r w:rsidRPr="00317BD8">
        <w:t>液压</w:t>
      </w:r>
      <w:r w:rsidRPr="00317BD8">
        <w:rPr>
          <w:rFonts w:hint="eastAsia"/>
        </w:rPr>
        <w:t>附</w:t>
      </w:r>
      <w:r w:rsidRPr="00317BD8">
        <w:t>件及电器</w:t>
      </w:r>
      <w:r w:rsidRPr="00317BD8">
        <w:rPr>
          <w:rFonts w:hint="eastAsia"/>
        </w:rPr>
        <w:t>附</w:t>
      </w:r>
      <w:r w:rsidRPr="00317BD8">
        <w:t>件应更换新件。</w:t>
      </w:r>
    </w:p>
    <w:p w14:paraId="3F7F1C37" w14:textId="77777777" w:rsidR="00BF1963" w:rsidRPr="00317BD8" w:rsidRDefault="00BF1963">
      <w:pPr>
        <w:rPr>
          <w:rFonts w:ascii="黑体" w:eastAsia="黑体" w:hAnsi="黑体" w:cs="黑体"/>
          <w:szCs w:val="21"/>
        </w:rPr>
      </w:pPr>
    </w:p>
    <w:p w14:paraId="0A6A4147" w14:textId="77777777" w:rsidR="00BF1963" w:rsidRPr="00317BD8" w:rsidRDefault="00250D17">
      <w:pPr>
        <w:numPr>
          <w:ilvl w:val="0"/>
          <w:numId w:val="3"/>
        </w:numPr>
        <w:rPr>
          <w:rFonts w:ascii="黑体" w:eastAsia="黑体" w:hAnsi="黑体" w:cs="黑体"/>
          <w:szCs w:val="21"/>
        </w:rPr>
      </w:pPr>
      <w:r w:rsidRPr="00317BD8">
        <w:rPr>
          <w:rFonts w:ascii="黑体" w:eastAsia="黑体" w:hAnsi="黑体" w:cs="黑体" w:hint="eastAsia"/>
          <w:szCs w:val="21"/>
        </w:rPr>
        <w:t>验收要求</w:t>
      </w:r>
    </w:p>
    <w:p w14:paraId="2956E55C" w14:textId="77777777" w:rsidR="00BF1963" w:rsidRPr="00317BD8" w:rsidRDefault="00BF1963">
      <w:pPr>
        <w:ind w:left="425"/>
        <w:rPr>
          <w:rFonts w:ascii="黑体" w:eastAsia="黑体" w:hAnsi="黑体" w:cs="黑体"/>
          <w:szCs w:val="21"/>
        </w:rPr>
      </w:pPr>
    </w:p>
    <w:p w14:paraId="05A9C67A" w14:textId="77777777" w:rsidR="00BF1963" w:rsidRPr="00317BD8" w:rsidRDefault="00BE6CF3">
      <w:pPr>
        <w:pStyle w:val="ad"/>
        <w:ind w:left="425" w:firstLineChars="0" w:firstLine="0"/>
      </w:pPr>
      <w:r w:rsidRPr="00317BD8">
        <w:rPr>
          <w:rFonts w:hint="eastAsia"/>
        </w:rPr>
        <w:t>整机验收</w:t>
      </w:r>
      <w:r w:rsidR="00250D17" w:rsidRPr="00317BD8">
        <w:rPr>
          <w:rFonts w:hint="eastAsia"/>
        </w:rPr>
        <w:t>符合</w:t>
      </w:r>
      <w:r w:rsidR="00250D17" w:rsidRPr="00317BD8">
        <w:t>MT/T 103矿用刮板输送机出厂检验规范的要求</w:t>
      </w:r>
      <w:r w:rsidR="00250D17" w:rsidRPr="00317BD8">
        <w:rPr>
          <w:rFonts w:hint="eastAsia"/>
        </w:rPr>
        <w:t>。</w:t>
      </w:r>
    </w:p>
    <w:p w14:paraId="5D2FF7CE" w14:textId="77777777" w:rsidR="00BF1963" w:rsidRPr="00317BD8" w:rsidRDefault="00BF1963">
      <w:pPr>
        <w:rPr>
          <w:rFonts w:ascii="黑体" w:eastAsia="黑体" w:hAnsi="黑体" w:cs="黑体"/>
          <w:szCs w:val="21"/>
        </w:rPr>
      </w:pPr>
    </w:p>
    <w:p w14:paraId="1442909A" w14:textId="77777777" w:rsidR="00BF1963" w:rsidRPr="00317BD8" w:rsidRDefault="00250D17">
      <w:pPr>
        <w:numPr>
          <w:ilvl w:val="0"/>
          <w:numId w:val="3"/>
        </w:numPr>
        <w:rPr>
          <w:rFonts w:ascii="黑体" w:eastAsia="黑体" w:hAnsi="黑体" w:cs="黑体"/>
          <w:szCs w:val="21"/>
        </w:rPr>
      </w:pPr>
      <w:r w:rsidRPr="00317BD8">
        <w:rPr>
          <w:rFonts w:ascii="黑体" w:eastAsia="黑体" w:hAnsi="黑体" w:cs="黑体" w:hint="eastAsia"/>
          <w:szCs w:val="21"/>
        </w:rPr>
        <w:t>质量保证</w:t>
      </w:r>
    </w:p>
    <w:p w14:paraId="58B21399" w14:textId="77777777" w:rsidR="00BF1963" w:rsidRPr="00317BD8" w:rsidRDefault="00BF1963">
      <w:pPr>
        <w:ind w:left="425"/>
        <w:rPr>
          <w:rFonts w:ascii="黑体" w:eastAsia="黑体" w:hAnsi="黑体" w:cs="黑体"/>
          <w:szCs w:val="21"/>
        </w:rPr>
      </w:pPr>
    </w:p>
    <w:p w14:paraId="42A6C281" w14:textId="77777777" w:rsidR="00BF1963" w:rsidRPr="00317BD8" w:rsidRDefault="00250D17">
      <w:pPr>
        <w:pStyle w:val="ad"/>
        <w:ind w:left="425" w:firstLineChars="0" w:firstLine="0"/>
        <w:rPr>
          <w:szCs w:val="22"/>
        </w:rPr>
      </w:pPr>
      <w:r w:rsidRPr="00317BD8">
        <w:rPr>
          <w:rFonts w:hint="eastAsia"/>
          <w:szCs w:val="22"/>
        </w:rPr>
        <w:t>再制造产品的质量保证要求应与原型新品相同。</w:t>
      </w:r>
    </w:p>
    <w:p w14:paraId="12809440" w14:textId="77777777" w:rsidR="00BF1963" w:rsidRPr="00317BD8" w:rsidRDefault="00BF1963">
      <w:pPr>
        <w:pStyle w:val="ad"/>
        <w:ind w:firstLineChars="0" w:firstLine="0"/>
      </w:pPr>
    </w:p>
    <w:p w14:paraId="69C4165E" w14:textId="77777777" w:rsidR="00BF1963" w:rsidRPr="00317BD8" w:rsidRDefault="00250D17">
      <w:pPr>
        <w:numPr>
          <w:ilvl w:val="0"/>
          <w:numId w:val="3"/>
        </w:numPr>
        <w:rPr>
          <w:rFonts w:ascii="黑体" w:eastAsia="黑体" w:hAnsi="黑体" w:cs="黑体"/>
          <w:szCs w:val="21"/>
        </w:rPr>
      </w:pPr>
      <w:r w:rsidRPr="00317BD8">
        <w:rPr>
          <w:rFonts w:ascii="黑体" w:eastAsia="黑体" w:hAnsi="黑体" w:cs="黑体" w:hint="eastAsia"/>
          <w:szCs w:val="21"/>
        </w:rPr>
        <w:t>标志、包装、运输和贮存</w:t>
      </w:r>
    </w:p>
    <w:p w14:paraId="229AFA0E" w14:textId="77777777" w:rsidR="00BF1963" w:rsidRPr="00317BD8" w:rsidRDefault="00250D17">
      <w:pPr>
        <w:pStyle w:val="a0"/>
        <w:numPr>
          <w:ilvl w:val="1"/>
          <w:numId w:val="3"/>
        </w:numPr>
        <w:spacing w:before="156" w:after="156"/>
      </w:pPr>
      <w:r w:rsidRPr="00317BD8">
        <w:rPr>
          <w:rFonts w:hint="eastAsia"/>
        </w:rPr>
        <w:t>标志</w:t>
      </w:r>
    </w:p>
    <w:p w14:paraId="2E779FC3" w14:textId="77777777" w:rsidR="00BF1963" w:rsidRPr="00317BD8" w:rsidRDefault="00250D17">
      <w:pPr>
        <w:pStyle w:val="ad"/>
        <w:ind w:left="425"/>
      </w:pPr>
      <w:r w:rsidRPr="00317BD8">
        <w:t>在产品的规定位置，应固定产品铭牌和刮板机再制造标识，铭牌的规格尺寸和制作方法应符合GB/T 13306和AQ 1043《矿用产品安全标志标识》的要求，铭牌的具体内容应包括：</w:t>
      </w:r>
    </w:p>
    <w:p w14:paraId="3E38C9EA" w14:textId="77777777" w:rsidR="00BF1963" w:rsidRPr="00317BD8" w:rsidRDefault="00250D17">
      <w:pPr>
        <w:pStyle w:val="ad"/>
        <w:ind w:left="425"/>
      </w:pPr>
      <w:r w:rsidRPr="00317BD8">
        <w:t>a</w:t>
      </w:r>
      <w:r w:rsidRPr="00317BD8">
        <w:rPr>
          <w:rFonts w:hint="eastAsia"/>
        </w:rPr>
        <w:t>）</w:t>
      </w:r>
      <w:r w:rsidRPr="00317BD8">
        <w:t>产品名称；</w:t>
      </w:r>
    </w:p>
    <w:p w14:paraId="23A6FA30" w14:textId="77777777" w:rsidR="00BF1963" w:rsidRPr="00317BD8" w:rsidRDefault="00250D17">
      <w:pPr>
        <w:pStyle w:val="ad"/>
        <w:ind w:left="425"/>
      </w:pPr>
      <w:r w:rsidRPr="00317BD8">
        <w:rPr>
          <w:rFonts w:hint="eastAsia"/>
        </w:rPr>
        <w:t>b</w:t>
      </w:r>
      <w:r w:rsidRPr="00317BD8">
        <w:t>）型号规格；</w:t>
      </w:r>
    </w:p>
    <w:p w14:paraId="57D8D7A8" w14:textId="77777777" w:rsidR="00BF1963" w:rsidRPr="00317BD8" w:rsidRDefault="00250D17">
      <w:pPr>
        <w:pStyle w:val="ad"/>
        <w:ind w:left="425"/>
      </w:pPr>
      <w:r w:rsidRPr="00317BD8">
        <w:t>c）</w:t>
      </w:r>
      <w:r w:rsidRPr="00317BD8">
        <w:rPr>
          <w:rFonts w:hint="eastAsia"/>
        </w:rPr>
        <w:t>再制造产品编号</w:t>
      </w:r>
      <w:r w:rsidRPr="00317BD8">
        <w:t>；</w:t>
      </w:r>
    </w:p>
    <w:p w14:paraId="34D6282A" w14:textId="77777777" w:rsidR="00BF1963" w:rsidRPr="00317BD8" w:rsidRDefault="00250D17">
      <w:pPr>
        <w:pStyle w:val="ad"/>
        <w:ind w:left="425"/>
      </w:pPr>
      <w:r w:rsidRPr="00317BD8">
        <w:rPr>
          <w:rFonts w:hint="eastAsia"/>
        </w:rPr>
        <w:t>d</w:t>
      </w:r>
      <w:r w:rsidRPr="00317BD8">
        <w:t>）再制造日期；</w:t>
      </w:r>
    </w:p>
    <w:p w14:paraId="16CFAED3" w14:textId="77777777" w:rsidR="00BF1963" w:rsidRPr="00317BD8" w:rsidRDefault="00250D17">
      <w:pPr>
        <w:pStyle w:val="ad"/>
        <w:ind w:left="425"/>
      </w:pPr>
      <w:r w:rsidRPr="00317BD8">
        <w:t>e）</w:t>
      </w:r>
      <w:r w:rsidRPr="00317BD8">
        <w:rPr>
          <w:rFonts w:hint="eastAsia"/>
        </w:rPr>
        <w:t>再制造厂名</w:t>
      </w:r>
      <w:r w:rsidRPr="00317BD8">
        <w:t>、厂址；</w:t>
      </w:r>
    </w:p>
    <w:p w14:paraId="387286C8" w14:textId="77777777" w:rsidR="00BF1963" w:rsidRPr="00317BD8" w:rsidRDefault="00250D17">
      <w:pPr>
        <w:pStyle w:val="ad"/>
        <w:ind w:left="425"/>
      </w:pPr>
      <w:r w:rsidRPr="00317BD8">
        <w:rPr>
          <w:rFonts w:hint="eastAsia"/>
        </w:rPr>
        <w:t>f</w:t>
      </w:r>
      <w:r w:rsidRPr="00317BD8">
        <w:t>）再制造产品</w:t>
      </w:r>
      <w:r w:rsidRPr="00317BD8">
        <w:rPr>
          <w:rFonts w:hint="eastAsia"/>
        </w:rPr>
        <w:t>标识</w:t>
      </w:r>
      <w:r w:rsidRPr="00317BD8">
        <w:t>；</w:t>
      </w:r>
    </w:p>
    <w:p w14:paraId="1CA96DFE" w14:textId="77777777" w:rsidR="00BF1963" w:rsidRPr="00317BD8" w:rsidRDefault="00250D17">
      <w:pPr>
        <w:pStyle w:val="ad"/>
        <w:ind w:left="425"/>
      </w:pPr>
      <w:r w:rsidRPr="00317BD8">
        <w:t>g</w:t>
      </w:r>
      <w:r w:rsidRPr="00317BD8">
        <w:rPr>
          <w:rFonts w:hint="eastAsia"/>
        </w:rPr>
        <w:t>）安全标志标识</w:t>
      </w:r>
      <w:r w:rsidRPr="00317BD8">
        <w:t>。</w:t>
      </w:r>
    </w:p>
    <w:p w14:paraId="2AED59C1" w14:textId="77777777" w:rsidR="00BF1963" w:rsidRPr="00317BD8" w:rsidRDefault="00BF1963">
      <w:pPr>
        <w:rPr>
          <w:rFonts w:ascii="黑体" w:eastAsia="黑体" w:hAnsi="黑体" w:cs="黑体"/>
          <w:szCs w:val="21"/>
        </w:rPr>
      </w:pPr>
    </w:p>
    <w:p w14:paraId="6E990898" w14:textId="77777777" w:rsidR="00BF1963" w:rsidRPr="00317BD8" w:rsidRDefault="00250D17">
      <w:pPr>
        <w:pStyle w:val="a0"/>
        <w:numPr>
          <w:ilvl w:val="1"/>
          <w:numId w:val="3"/>
        </w:numPr>
        <w:spacing w:before="156" w:after="156"/>
      </w:pPr>
      <w:r w:rsidRPr="00317BD8">
        <w:rPr>
          <w:rFonts w:hint="eastAsia"/>
        </w:rPr>
        <w:t>包装、</w:t>
      </w:r>
      <w:r w:rsidRPr="00317BD8">
        <w:t>运输</w:t>
      </w:r>
      <w:r w:rsidRPr="00317BD8">
        <w:rPr>
          <w:rFonts w:hint="eastAsia"/>
        </w:rPr>
        <w:t>和</w:t>
      </w:r>
      <w:r w:rsidRPr="00317BD8">
        <w:t>贮存</w:t>
      </w:r>
    </w:p>
    <w:p w14:paraId="7FEB93FE" w14:textId="77777777" w:rsidR="00BF1963" w:rsidRPr="00317BD8" w:rsidRDefault="00250D17">
      <w:pPr>
        <w:pStyle w:val="ad"/>
        <w:rPr>
          <w:rFonts w:asciiTheme="minorEastAsia" w:hAnsiTheme="minorEastAsia" w:cstheme="minorEastAsia"/>
          <w:szCs w:val="21"/>
        </w:rPr>
      </w:pPr>
      <w:r w:rsidRPr="00317BD8">
        <w:rPr>
          <w:rFonts w:asciiTheme="minorEastAsia" w:hAnsiTheme="minorEastAsia" w:cstheme="minorEastAsia" w:hint="eastAsia"/>
          <w:szCs w:val="21"/>
        </w:rPr>
        <w:t>包装、运输和贮存符合</w:t>
      </w:r>
      <w:r w:rsidRPr="00317BD8">
        <w:t>MT/T 105</w:t>
      </w:r>
      <w:r w:rsidRPr="00317BD8">
        <w:rPr>
          <w:rFonts w:asciiTheme="minorEastAsia" w:hAnsiTheme="minorEastAsia" w:cstheme="minorEastAsia" w:hint="eastAsia"/>
          <w:szCs w:val="21"/>
        </w:rPr>
        <w:t>中的要求。</w:t>
      </w:r>
    </w:p>
    <w:p w14:paraId="0B998351" w14:textId="77777777" w:rsidR="00BF1963" w:rsidRPr="00865D18" w:rsidRDefault="00250D17">
      <w:pPr>
        <w:pStyle w:val="ad"/>
      </w:pPr>
      <w:r w:rsidRPr="00317BD8">
        <w:rPr>
          <w:rFonts w:asciiTheme="minorEastAsia" w:hAnsiTheme="minorEastAsia" w:cstheme="minorEastAsia" w:hint="eastAsia"/>
          <w:szCs w:val="21"/>
        </w:rPr>
        <w:t>涂装标准不低于</w:t>
      </w:r>
      <w:r w:rsidRPr="00317BD8">
        <w:t>JB/T 5000.12</w:t>
      </w:r>
      <w:r w:rsidRPr="00317BD8">
        <w:rPr>
          <w:rFonts w:asciiTheme="minorEastAsia" w:hAnsiTheme="minorEastAsia" w:cstheme="minorEastAsia" w:hint="eastAsia"/>
          <w:szCs w:val="21"/>
        </w:rPr>
        <w:t>标准要求</w:t>
      </w:r>
    </w:p>
    <w:p w14:paraId="1B4F80A3" w14:textId="77777777" w:rsidR="00BF1963" w:rsidRPr="00865D18" w:rsidRDefault="00BF1963">
      <w:pPr>
        <w:rPr>
          <w:rFonts w:ascii="黑体" w:eastAsia="黑体" w:hAnsi="黑体" w:cs="黑体"/>
          <w:szCs w:val="21"/>
        </w:rPr>
      </w:pPr>
    </w:p>
    <w:p w14:paraId="5406A842" w14:textId="77777777" w:rsidR="00BF1963" w:rsidRPr="00865D18" w:rsidRDefault="00BF1963">
      <w:pPr>
        <w:rPr>
          <w:rFonts w:ascii="宋体" w:eastAsia="宋体" w:hAnsi="宋体" w:cs="宋体"/>
          <w:szCs w:val="21"/>
        </w:rPr>
      </w:pPr>
    </w:p>
    <w:sectPr w:rsidR="00BF1963" w:rsidRPr="00865D18">
      <w:footerReference w:type="even" r:id="rId10"/>
      <w:footerReference w:type="default" r:id="rId11"/>
      <w:pgSz w:w="11906" w:h="16838"/>
      <w:pgMar w:top="1417" w:right="1134" w:bottom="1417" w:left="1417" w:header="850"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AFBC" w14:textId="77777777" w:rsidR="004C4C09" w:rsidRDefault="004C4C09">
      <w:r>
        <w:separator/>
      </w:r>
    </w:p>
  </w:endnote>
  <w:endnote w:type="continuationSeparator" w:id="0">
    <w:p w14:paraId="7E7AD41C" w14:textId="77777777" w:rsidR="004C4C09" w:rsidRDefault="004C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8F1F" w14:textId="77777777" w:rsidR="00BF1963" w:rsidRDefault="004C4C09">
    <w:pPr>
      <w:pStyle w:val="a7"/>
    </w:pPr>
    <w:r>
      <w:pict w14:anchorId="27C1EBBD">
        <v:shapetype id="_x0000_t202" coordsize="21600,21600" o:spt="202" path="m,l,21600r21600,l21600,xe">
          <v:stroke joinstyle="miter"/>
          <v:path gradientshapeok="t" o:connecttype="rect"/>
        </v:shapetype>
        <v:shape id="文本框 16" o:spid="_x0000_s3074" type="#_x0000_t202" style="position:absolute;margin-left:278.4pt;margin-top:0;width:2in;height:2in;z-index:251659264;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C9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P8Qb4eXRYRBSGYUdSD7&#10;CYu/zDGgEk4iUs3TKJ6mYcfxcEi1XBYQFs6LdOGuvcyuS7P98jZ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ffC9YgIAAAwFAAAOAAAAAAAAAAAAAAAAAC4CAABkcnMvZTJvRG9jLnht&#10;bFBLAQItABQABgAIAAAAIQBxqtG51wAAAAUBAAAPAAAAAAAAAAAAAAAAALwEAABkcnMvZG93bnJl&#10;di54bWxQSwUGAAAAAAQABADzAAAAwAUAAAAA&#10;" filled="f" stroked="f" strokeweight=".5pt">
          <v:textbox style="mso-fit-shape-to-text:t" inset="0,0,0,0">
            <w:txbxContent>
              <w:p w14:paraId="4014C883" w14:textId="77777777" w:rsidR="00BF1963" w:rsidRDefault="00250D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74FB" w14:textId="77777777" w:rsidR="00BF1963" w:rsidRDefault="004C4C09">
    <w:pPr>
      <w:pStyle w:val="a7"/>
    </w:pPr>
    <w:r>
      <w:pict w14:anchorId="557D80EF">
        <v:shapetype id="_x0000_t202" coordsize="21600,21600" o:spt="202" path="m,l,21600r21600,l21600,xe">
          <v:stroke joinstyle="miter"/>
          <v:path gradientshapeok="t" o:connecttype="rect"/>
        </v:shapetype>
        <v:shape id="文本框 15" o:spid="_x0000_s3073" type="#_x0000_t202" style="position:absolute;margin-left:278.4pt;margin-top:0;width:2in;height:2in;z-index:251658240;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Vz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q9YVzZQIAABMFAAAOAAAAAAAAAAAAAAAAAC4CAABkcnMvZTJvRG9j&#10;LnhtbFBLAQItABQABgAIAAAAIQBxqtG51wAAAAUBAAAPAAAAAAAAAAAAAAAAAL8EAABkcnMvZG93&#10;bnJldi54bWxQSwUGAAAAAAQABADzAAAAwwUAAAAA&#10;" filled="f" stroked="f" strokeweight=".5pt">
          <v:textbox style="mso-fit-shape-to-text:t" inset="0,0,0,0">
            <w:txbxContent>
              <w:p w14:paraId="25B82092" w14:textId="77777777" w:rsidR="00BF1963" w:rsidRDefault="00250D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E12F0">
                  <w:rPr>
                    <w:noProof/>
                    <w:sz w:val="18"/>
                  </w:rPr>
                  <w:t>I</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924CD" w14:textId="77777777" w:rsidR="00BF1963" w:rsidRDefault="004C4C09">
    <w:pPr>
      <w:pStyle w:val="a7"/>
    </w:pPr>
    <w:r>
      <w:pict w14:anchorId="4AC83168">
        <v:shapetype id="_x0000_t202" coordsize="21600,21600" o:spt="202" path="m,l,21600r21600,l21600,xe">
          <v:stroke joinstyle="miter"/>
          <v:path gradientshapeok="t" o:connecttype="rect"/>
        </v:shapetype>
        <v:shape id="文本框 35" o:spid="_x0000_s3076" type="#_x0000_t202" style="position:absolute;margin-left:278.4pt;margin-top:0;width:2in;height:2in;z-index:260219904;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VmaFxZQIAABMFAAAOAAAAAAAAAAAAAAAAAC4CAABkcnMvZTJvRG9j&#10;LnhtbFBLAQItABQABgAIAAAAIQBxqtG51wAAAAUBAAAPAAAAAAAAAAAAAAAAAL8EAABkcnMvZG93&#10;bnJldi54bWxQSwUGAAAAAAQABADzAAAAwwUAAAAA&#10;" filled="f" stroked="f" strokeweight=".5pt">
          <v:textbox style="mso-fit-shape-to-text:t" inset="0,0,0,0">
            <w:txbxContent>
              <w:p w14:paraId="06F8F0B2" w14:textId="77777777" w:rsidR="00BF1963" w:rsidRDefault="00250D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B310D">
                  <w:rPr>
                    <w:noProof/>
                    <w:sz w:val="18"/>
                  </w:rPr>
                  <w:t>4</w:t>
                </w:r>
                <w:r>
                  <w:rPr>
                    <w:rFonts w:hint="eastAsia"/>
                    <w:sz w:val="18"/>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E198" w14:textId="77777777" w:rsidR="00BF1963" w:rsidRDefault="004C4C09">
    <w:pPr>
      <w:pStyle w:val="a7"/>
    </w:pPr>
    <w:r>
      <w:pict w14:anchorId="7D1C41C9">
        <v:shapetype id="_x0000_t202" coordsize="21600,21600" o:spt="202" path="m,l,21600r21600,l21600,xe">
          <v:stroke joinstyle="miter"/>
          <v:path gradientshapeok="t" o:connecttype="rect"/>
        </v:shapetype>
        <v:shape id="文本框 34" o:spid="_x0000_s3075" type="#_x0000_t202" style="position:absolute;margin-left:278.4pt;margin-top:0;width:2in;height:2in;z-index:256949248;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lfOqAZQIAABMFAAAOAAAAAAAAAAAAAAAAAC4CAABkcnMvZTJvRG9j&#10;LnhtbFBLAQItABQABgAIAAAAIQBxqtG51wAAAAUBAAAPAAAAAAAAAAAAAAAAAL8EAABkcnMvZG93&#10;bnJldi54bWxQSwUGAAAAAAQABADzAAAAwwUAAAAA&#10;" filled="f" stroked="f" strokeweight=".5pt">
          <v:textbox style="mso-fit-shape-to-text:t" inset="0,0,0,0">
            <w:txbxContent>
              <w:p w14:paraId="24AEB675" w14:textId="77777777" w:rsidR="00BF1963" w:rsidRDefault="00250D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B310D">
                  <w:rPr>
                    <w:noProof/>
                    <w:sz w:val="18"/>
                  </w:rPr>
                  <w:t>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167A" w14:textId="77777777" w:rsidR="004C4C09" w:rsidRDefault="004C4C09">
      <w:r>
        <w:separator/>
      </w:r>
    </w:p>
  </w:footnote>
  <w:footnote w:type="continuationSeparator" w:id="0">
    <w:p w14:paraId="3C41798B" w14:textId="77777777" w:rsidR="004C4C09" w:rsidRDefault="004C4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123E76"/>
    <w:multiLevelType w:val="multilevel"/>
    <w:tmpl w:val="E0123E76"/>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E7207D9A"/>
    <w:multiLevelType w:val="multilevel"/>
    <w:tmpl w:val="E7207D9A"/>
    <w:lvl w:ilvl="0">
      <w:start w:val="1"/>
      <w:numFmt w:val="decimal"/>
      <w:lvlText w:val="%1"/>
      <w:lvlJc w:val="left"/>
      <w:pPr>
        <w:ind w:left="425" w:hanging="425"/>
      </w:pPr>
      <w:rPr>
        <w:rFonts w:ascii="宋体" w:eastAsia="黑体" w:hAnsi="宋体" w:cs="宋体" w:hint="default"/>
        <w:b/>
        <w:sz w:val="21"/>
      </w:rPr>
    </w:lvl>
    <w:lvl w:ilvl="1">
      <w:start w:val="1"/>
      <w:numFmt w:val="decimal"/>
      <w:lvlText w:val="%1.%2"/>
      <w:lvlJc w:val="left"/>
      <w:pPr>
        <w:ind w:left="0" w:firstLine="0"/>
      </w:pPr>
      <w:rPr>
        <w:rFonts w:ascii="宋体" w:eastAsia="黑体" w:hAnsi="宋体" w:cs="宋体" w:hint="default"/>
        <w:b/>
        <w:sz w:val="21"/>
      </w:rPr>
    </w:lvl>
    <w:lvl w:ilvl="2">
      <w:start w:val="1"/>
      <w:numFmt w:val="decimal"/>
      <w:lvlText w:val="%1.%2.%3"/>
      <w:lvlJc w:val="left"/>
      <w:pPr>
        <w:ind w:left="0" w:firstLine="0"/>
      </w:pPr>
      <w:rPr>
        <w:rFonts w:ascii="宋体" w:eastAsia="黑体" w:hAnsi="宋体" w:cs="宋体" w:hint="default"/>
        <w:b/>
        <w:sz w:val="21"/>
      </w:rPr>
    </w:lvl>
    <w:lvl w:ilvl="3">
      <w:start w:val="1"/>
      <w:numFmt w:val="decimal"/>
      <w:lvlText w:val="%1.%2.%3.%4"/>
      <w:lvlJc w:val="left"/>
      <w:pPr>
        <w:ind w:left="850" w:hanging="850"/>
      </w:pPr>
      <w:rPr>
        <w:rFonts w:ascii="宋体" w:eastAsia="黑体" w:hAnsi="宋体" w:cs="宋体" w:hint="default"/>
        <w:b/>
        <w:sz w:val="21"/>
      </w:rPr>
    </w:lvl>
    <w:lvl w:ilvl="4">
      <w:start w:val="1"/>
      <w:numFmt w:val="decimal"/>
      <w:lvlText w:val="%1.%2.%3.%4.%5"/>
      <w:lvlJc w:val="left"/>
      <w:pPr>
        <w:ind w:left="991" w:hanging="991"/>
      </w:pPr>
      <w:rPr>
        <w:rFonts w:ascii="宋体" w:eastAsia="黑体" w:hAnsi="宋体" w:cs="宋体" w:hint="default"/>
        <w:b/>
        <w:sz w:val="21"/>
      </w:rPr>
    </w:lvl>
    <w:lvl w:ilvl="5">
      <w:start w:val="1"/>
      <w:numFmt w:val="decimal"/>
      <w:lvlText w:val="%1.%2.%3.%4.%5.%6"/>
      <w:lvlJc w:val="left"/>
      <w:pPr>
        <w:ind w:left="1134" w:hanging="1134"/>
      </w:pPr>
      <w:rPr>
        <w:rFonts w:ascii="宋体" w:eastAsia="黑体" w:hAnsi="宋体" w:cs="宋体" w:hint="default"/>
        <w:b/>
        <w:sz w:val="21"/>
      </w:rPr>
    </w:lvl>
    <w:lvl w:ilvl="6">
      <w:start w:val="1"/>
      <w:numFmt w:val="decimal"/>
      <w:lvlText w:val="%1.%2.%3.%4.%5.%6.%7"/>
      <w:lvlJc w:val="left"/>
      <w:pPr>
        <w:ind w:left="1275" w:hanging="1275"/>
      </w:pPr>
      <w:rPr>
        <w:rFonts w:ascii="宋体" w:eastAsia="宋体" w:hAnsi="宋体" w:cs="宋体" w:hint="default"/>
      </w:rPr>
    </w:lvl>
    <w:lvl w:ilvl="7">
      <w:start w:val="1"/>
      <w:numFmt w:val="decimal"/>
      <w:lvlText w:val="%1.%2.%3.%4.%5.%6.%7.%8"/>
      <w:lvlJc w:val="left"/>
      <w:pPr>
        <w:ind w:left="1418" w:hanging="1418"/>
      </w:pPr>
      <w:rPr>
        <w:rFonts w:ascii="宋体" w:eastAsia="宋体" w:hAnsi="宋体" w:cs="宋体" w:hint="default"/>
      </w:rPr>
    </w:lvl>
    <w:lvl w:ilvl="8">
      <w:start w:val="1"/>
      <w:numFmt w:val="decimal"/>
      <w:lvlText w:val="%1.%2.%3.%4.%5.%6.%7.%8.%9"/>
      <w:lvlJc w:val="left"/>
      <w:pPr>
        <w:ind w:left="1558" w:hanging="1558"/>
      </w:pPr>
      <w:rPr>
        <w:rFonts w:ascii="宋体" w:eastAsia="宋体" w:hAnsi="宋体" w:cs="宋体" w:hint="default"/>
      </w:rPr>
    </w:lvl>
  </w:abstractNum>
  <w:abstractNum w:abstractNumId="2" w15:restartNumberingAfterBreak="0">
    <w:nsid w:val="15D5C230"/>
    <w:multiLevelType w:val="multilevel"/>
    <w:tmpl w:val="15D5C230"/>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evenAndOddHeaders/>
  <w:drawingGridHorizontalSpacing w:val="210"/>
  <w:drawingGridVerticalSpacing w:val="312"/>
  <w:noPunctuationKerning/>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76B4051B"/>
    <w:rsid w:val="00022125"/>
    <w:rsid w:val="00023D17"/>
    <w:rsid w:val="001026E9"/>
    <w:rsid w:val="00103AF9"/>
    <w:rsid w:val="00110FCA"/>
    <w:rsid w:val="001123FB"/>
    <w:rsid w:val="001255B2"/>
    <w:rsid w:val="00131860"/>
    <w:rsid w:val="00131E08"/>
    <w:rsid w:val="00133113"/>
    <w:rsid w:val="00141F9C"/>
    <w:rsid w:val="00145E4A"/>
    <w:rsid w:val="00162238"/>
    <w:rsid w:val="00170441"/>
    <w:rsid w:val="00184CB9"/>
    <w:rsid w:val="001A084F"/>
    <w:rsid w:val="001B3773"/>
    <w:rsid w:val="001D1BA7"/>
    <w:rsid w:val="00214D8B"/>
    <w:rsid w:val="00225F6B"/>
    <w:rsid w:val="00227FCF"/>
    <w:rsid w:val="00250D17"/>
    <w:rsid w:val="002567E8"/>
    <w:rsid w:val="002675DC"/>
    <w:rsid w:val="00283034"/>
    <w:rsid w:val="00287EB8"/>
    <w:rsid w:val="002B1E28"/>
    <w:rsid w:val="002B2DEE"/>
    <w:rsid w:val="002D4FF7"/>
    <w:rsid w:val="00317BD8"/>
    <w:rsid w:val="003222C3"/>
    <w:rsid w:val="003269C1"/>
    <w:rsid w:val="00330FCF"/>
    <w:rsid w:val="00333D02"/>
    <w:rsid w:val="003669B9"/>
    <w:rsid w:val="00392F32"/>
    <w:rsid w:val="003C49C8"/>
    <w:rsid w:val="003C4F32"/>
    <w:rsid w:val="003E4620"/>
    <w:rsid w:val="004057CC"/>
    <w:rsid w:val="00410D0A"/>
    <w:rsid w:val="00495B98"/>
    <w:rsid w:val="004B310D"/>
    <w:rsid w:val="004C488B"/>
    <w:rsid w:val="004C4C09"/>
    <w:rsid w:val="004E6055"/>
    <w:rsid w:val="004E7AE8"/>
    <w:rsid w:val="004F292E"/>
    <w:rsid w:val="00527EF8"/>
    <w:rsid w:val="00531745"/>
    <w:rsid w:val="0054644B"/>
    <w:rsid w:val="005B20B1"/>
    <w:rsid w:val="005E1BA3"/>
    <w:rsid w:val="005E7C7B"/>
    <w:rsid w:val="005F526B"/>
    <w:rsid w:val="00606621"/>
    <w:rsid w:val="006123FD"/>
    <w:rsid w:val="0063491D"/>
    <w:rsid w:val="006B3920"/>
    <w:rsid w:val="006B4842"/>
    <w:rsid w:val="006B76FB"/>
    <w:rsid w:val="006D7ADE"/>
    <w:rsid w:val="006E523E"/>
    <w:rsid w:val="00710D90"/>
    <w:rsid w:val="0073085A"/>
    <w:rsid w:val="007411FE"/>
    <w:rsid w:val="007611D3"/>
    <w:rsid w:val="00763806"/>
    <w:rsid w:val="007847D5"/>
    <w:rsid w:val="00792EC4"/>
    <w:rsid w:val="007C2A4A"/>
    <w:rsid w:val="007D4D38"/>
    <w:rsid w:val="007D52C0"/>
    <w:rsid w:val="007E3C5F"/>
    <w:rsid w:val="007F7E7E"/>
    <w:rsid w:val="008136C1"/>
    <w:rsid w:val="00835FBA"/>
    <w:rsid w:val="0084329A"/>
    <w:rsid w:val="00865D18"/>
    <w:rsid w:val="008A5C38"/>
    <w:rsid w:val="008C746F"/>
    <w:rsid w:val="008D16ED"/>
    <w:rsid w:val="008D6BC4"/>
    <w:rsid w:val="008E1BA6"/>
    <w:rsid w:val="008F347D"/>
    <w:rsid w:val="008F7380"/>
    <w:rsid w:val="009021B7"/>
    <w:rsid w:val="00935C23"/>
    <w:rsid w:val="009402D9"/>
    <w:rsid w:val="00941AE3"/>
    <w:rsid w:val="0095395C"/>
    <w:rsid w:val="00962FD2"/>
    <w:rsid w:val="00966428"/>
    <w:rsid w:val="00991492"/>
    <w:rsid w:val="009E3478"/>
    <w:rsid w:val="00A10CAD"/>
    <w:rsid w:val="00A5630D"/>
    <w:rsid w:val="00A57910"/>
    <w:rsid w:val="00A64B73"/>
    <w:rsid w:val="00A82906"/>
    <w:rsid w:val="00A93232"/>
    <w:rsid w:val="00A948F3"/>
    <w:rsid w:val="00AC0113"/>
    <w:rsid w:val="00AD23ED"/>
    <w:rsid w:val="00AD6D9B"/>
    <w:rsid w:val="00AE12F0"/>
    <w:rsid w:val="00AF4234"/>
    <w:rsid w:val="00AF44CD"/>
    <w:rsid w:val="00B052C9"/>
    <w:rsid w:val="00B11D75"/>
    <w:rsid w:val="00B1743A"/>
    <w:rsid w:val="00B424D4"/>
    <w:rsid w:val="00B579A7"/>
    <w:rsid w:val="00B61DCB"/>
    <w:rsid w:val="00B96CB1"/>
    <w:rsid w:val="00BA2272"/>
    <w:rsid w:val="00BC21A6"/>
    <w:rsid w:val="00BC3A4F"/>
    <w:rsid w:val="00BC3F9B"/>
    <w:rsid w:val="00BE6CF3"/>
    <w:rsid w:val="00BF1963"/>
    <w:rsid w:val="00BF5F37"/>
    <w:rsid w:val="00C01913"/>
    <w:rsid w:val="00C117FB"/>
    <w:rsid w:val="00C51A89"/>
    <w:rsid w:val="00C524E7"/>
    <w:rsid w:val="00C73D68"/>
    <w:rsid w:val="00C838AB"/>
    <w:rsid w:val="00C9604A"/>
    <w:rsid w:val="00CA3142"/>
    <w:rsid w:val="00CB4B09"/>
    <w:rsid w:val="00CB5D59"/>
    <w:rsid w:val="00CC7D73"/>
    <w:rsid w:val="00D00F72"/>
    <w:rsid w:val="00D12BE6"/>
    <w:rsid w:val="00D700A1"/>
    <w:rsid w:val="00D71A8E"/>
    <w:rsid w:val="00DA66E1"/>
    <w:rsid w:val="00DC1704"/>
    <w:rsid w:val="00DD5CEC"/>
    <w:rsid w:val="00DE0A98"/>
    <w:rsid w:val="00DE301F"/>
    <w:rsid w:val="00DE6136"/>
    <w:rsid w:val="00E0229A"/>
    <w:rsid w:val="00E34302"/>
    <w:rsid w:val="00E63648"/>
    <w:rsid w:val="00E72335"/>
    <w:rsid w:val="00E7768B"/>
    <w:rsid w:val="00E8198E"/>
    <w:rsid w:val="00E943C8"/>
    <w:rsid w:val="00E969A9"/>
    <w:rsid w:val="00EA1756"/>
    <w:rsid w:val="00EA5970"/>
    <w:rsid w:val="00EB201F"/>
    <w:rsid w:val="00EC2CF6"/>
    <w:rsid w:val="00EC6D30"/>
    <w:rsid w:val="00ED76C8"/>
    <w:rsid w:val="00ED7AA1"/>
    <w:rsid w:val="00F01188"/>
    <w:rsid w:val="00F038B1"/>
    <w:rsid w:val="00F03E47"/>
    <w:rsid w:val="00F05FBE"/>
    <w:rsid w:val="00F106BA"/>
    <w:rsid w:val="00F427FF"/>
    <w:rsid w:val="00F87B53"/>
    <w:rsid w:val="00FE3BE7"/>
    <w:rsid w:val="01360A49"/>
    <w:rsid w:val="020727F6"/>
    <w:rsid w:val="02170C6E"/>
    <w:rsid w:val="02F660F0"/>
    <w:rsid w:val="04974664"/>
    <w:rsid w:val="050072C5"/>
    <w:rsid w:val="052A226B"/>
    <w:rsid w:val="056E6023"/>
    <w:rsid w:val="0590627B"/>
    <w:rsid w:val="05A755F7"/>
    <w:rsid w:val="05E065B2"/>
    <w:rsid w:val="07A92BE5"/>
    <w:rsid w:val="07BF1CB5"/>
    <w:rsid w:val="080337CC"/>
    <w:rsid w:val="084D7AC8"/>
    <w:rsid w:val="08E338E9"/>
    <w:rsid w:val="0A2711AA"/>
    <w:rsid w:val="0A4A1F60"/>
    <w:rsid w:val="0AC00F8D"/>
    <w:rsid w:val="0BC61BA8"/>
    <w:rsid w:val="0C651CBB"/>
    <w:rsid w:val="0DD70B8D"/>
    <w:rsid w:val="0E486FB7"/>
    <w:rsid w:val="0E4F44C3"/>
    <w:rsid w:val="0E924814"/>
    <w:rsid w:val="0FCB5933"/>
    <w:rsid w:val="100E661F"/>
    <w:rsid w:val="102911F1"/>
    <w:rsid w:val="104D213D"/>
    <w:rsid w:val="10565BD7"/>
    <w:rsid w:val="10B809DF"/>
    <w:rsid w:val="11CF7ED3"/>
    <w:rsid w:val="12197B8B"/>
    <w:rsid w:val="12FA4D20"/>
    <w:rsid w:val="136314EA"/>
    <w:rsid w:val="137B6329"/>
    <w:rsid w:val="13852FF4"/>
    <w:rsid w:val="13FE7F77"/>
    <w:rsid w:val="160F18E7"/>
    <w:rsid w:val="16340046"/>
    <w:rsid w:val="169C3C79"/>
    <w:rsid w:val="16A96E4C"/>
    <w:rsid w:val="172E4CC8"/>
    <w:rsid w:val="18D822CD"/>
    <w:rsid w:val="199F4A5A"/>
    <w:rsid w:val="1B6F24D1"/>
    <w:rsid w:val="1CA1102E"/>
    <w:rsid w:val="1D06207F"/>
    <w:rsid w:val="1D4B6C00"/>
    <w:rsid w:val="1DB21A3C"/>
    <w:rsid w:val="1DEA133B"/>
    <w:rsid w:val="1E031772"/>
    <w:rsid w:val="1E575BEA"/>
    <w:rsid w:val="1F092240"/>
    <w:rsid w:val="20702FF0"/>
    <w:rsid w:val="240E7B82"/>
    <w:rsid w:val="24675F1B"/>
    <w:rsid w:val="248445D0"/>
    <w:rsid w:val="252C161C"/>
    <w:rsid w:val="25AC19EC"/>
    <w:rsid w:val="262C7C57"/>
    <w:rsid w:val="26884423"/>
    <w:rsid w:val="26A06AD7"/>
    <w:rsid w:val="2723200A"/>
    <w:rsid w:val="272E5BFE"/>
    <w:rsid w:val="27876EA0"/>
    <w:rsid w:val="27B04357"/>
    <w:rsid w:val="286E52ED"/>
    <w:rsid w:val="289D16E7"/>
    <w:rsid w:val="28BA15CB"/>
    <w:rsid w:val="28CD0D65"/>
    <w:rsid w:val="29AB78FD"/>
    <w:rsid w:val="2A525198"/>
    <w:rsid w:val="2B5972A7"/>
    <w:rsid w:val="2B9255E2"/>
    <w:rsid w:val="2B956861"/>
    <w:rsid w:val="2C015F5D"/>
    <w:rsid w:val="2D0926FF"/>
    <w:rsid w:val="2D1C11F1"/>
    <w:rsid w:val="2D553328"/>
    <w:rsid w:val="2D767413"/>
    <w:rsid w:val="2D9F4EC6"/>
    <w:rsid w:val="2E6A23A3"/>
    <w:rsid w:val="2ED23673"/>
    <w:rsid w:val="2EEE2F8B"/>
    <w:rsid w:val="2F1B2018"/>
    <w:rsid w:val="2F225574"/>
    <w:rsid w:val="2F273277"/>
    <w:rsid w:val="2FA8074E"/>
    <w:rsid w:val="2FD316DB"/>
    <w:rsid w:val="307F6941"/>
    <w:rsid w:val="32EA6538"/>
    <w:rsid w:val="336A32A6"/>
    <w:rsid w:val="337B1E5E"/>
    <w:rsid w:val="338C7AD5"/>
    <w:rsid w:val="34DD2CA6"/>
    <w:rsid w:val="35CE5CBE"/>
    <w:rsid w:val="362B6C1E"/>
    <w:rsid w:val="36563291"/>
    <w:rsid w:val="36701C25"/>
    <w:rsid w:val="37777354"/>
    <w:rsid w:val="37956557"/>
    <w:rsid w:val="39381842"/>
    <w:rsid w:val="3A235CAA"/>
    <w:rsid w:val="3ABA7A5E"/>
    <w:rsid w:val="3AF8494B"/>
    <w:rsid w:val="3B15791C"/>
    <w:rsid w:val="3B46784D"/>
    <w:rsid w:val="3D354566"/>
    <w:rsid w:val="3D363198"/>
    <w:rsid w:val="3DFC2A92"/>
    <w:rsid w:val="3E5C06F3"/>
    <w:rsid w:val="3EFD4E44"/>
    <w:rsid w:val="3FA97AA9"/>
    <w:rsid w:val="40025243"/>
    <w:rsid w:val="4057004F"/>
    <w:rsid w:val="410370E0"/>
    <w:rsid w:val="419B733E"/>
    <w:rsid w:val="43733703"/>
    <w:rsid w:val="4463051A"/>
    <w:rsid w:val="44747B6B"/>
    <w:rsid w:val="44EA646D"/>
    <w:rsid w:val="450D7DA5"/>
    <w:rsid w:val="45122BA5"/>
    <w:rsid w:val="45312EC1"/>
    <w:rsid w:val="476D1327"/>
    <w:rsid w:val="476E6F00"/>
    <w:rsid w:val="48464684"/>
    <w:rsid w:val="48654903"/>
    <w:rsid w:val="48DE1073"/>
    <w:rsid w:val="4B75338B"/>
    <w:rsid w:val="4BB8481B"/>
    <w:rsid w:val="4BCD3A71"/>
    <w:rsid w:val="4C5454AC"/>
    <w:rsid w:val="4E7B2D5E"/>
    <w:rsid w:val="4F6B773A"/>
    <w:rsid w:val="4F8C6FB7"/>
    <w:rsid w:val="504355E6"/>
    <w:rsid w:val="51F069CF"/>
    <w:rsid w:val="522B591D"/>
    <w:rsid w:val="524D5CB0"/>
    <w:rsid w:val="52507D22"/>
    <w:rsid w:val="54052399"/>
    <w:rsid w:val="544A49F6"/>
    <w:rsid w:val="550E2AD2"/>
    <w:rsid w:val="5559039B"/>
    <w:rsid w:val="55895CAA"/>
    <w:rsid w:val="56D703C2"/>
    <w:rsid w:val="57064761"/>
    <w:rsid w:val="572E5F47"/>
    <w:rsid w:val="5802187D"/>
    <w:rsid w:val="58976D86"/>
    <w:rsid w:val="59A02E88"/>
    <w:rsid w:val="5AA16480"/>
    <w:rsid w:val="5C2817BA"/>
    <w:rsid w:val="5D171FC5"/>
    <w:rsid w:val="5D892FAA"/>
    <w:rsid w:val="5DBC13AD"/>
    <w:rsid w:val="5E722B5D"/>
    <w:rsid w:val="5EE82F2E"/>
    <w:rsid w:val="5FBD45C0"/>
    <w:rsid w:val="615B6E75"/>
    <w:rsid w:val="61BF7882"/>
    <w:rsid w:val="61E34E67"/>
    <w:rsid w:val="625E0EE8"/>
    <w:rsid w:val="6272689C"/>
    <w:rsid w:val="62D52A29"/>
    <w:rsid w:val="658452E8"/>
    <w:rsid w:val="65CB56D6"/>
    <w:rsid w:val="65D14D93"/>
    <w:rsid w:val="665039E4"/>
    <w:rsid w:val="6694068D"/>
    <w:rsid w:val="67BF5219"/>
    <w:rsid w:val="68322439"/>
    <w:rsid w:val="69976188"/>
    <w:rsid w:val="6A1E2CBE"/>
    <w:rsid w:val="6A384CA4"/>
    <w:rsid w:val="6A4B5E89"/>
    <w:rsid w:val="6A6A55BA"/>
    <w:rsid w:val="6AA70BCC"/>
    <w:rsid w:val="6B6D4E37"/>
    <w:rsid w:val="6C8C7B4D"/>
    <w:rsid w:val="6D1C1438"/>
    <w:rsid w:val="6E3008D5"/>
    <w:rsid w:val="6E637CDA"/>
    <w:rsid w:val="6F2D43EE"/>
    <w:rsid w:val="6FBE017A"/>
    <w:rsid w:val="70DD4149"/>
    <w:rsid w:val="71993E7A"/>
    <w:rsid w:val="72822108"/>
    <w:rsid w:val="72C37A58"/>
    <w:rsid w:val="737769FC"/>
    <w:rsid w:val="739139F9"/>
    <w:rsid w:val="739A2E8D"/>
    <w:rsid w:val="73E21D34"/>
    <w:rsid w:val="73EA6472"/>
    <w:rsid w:val="73F142EC"/>
    <w:rsid w:val="74FE5A3F"/>
    <w:rsid w:val="766C3BA5"/>
    <w:rsid w:val="76B4051B"/>
    <w:rsid w:val="76D26C33"/>
    <w:rsid w:val="76D57533"/>
    <w:rsid w:val="76EF0173"/>
    <w:rsid w:val="771D5997"/>
    <w:rsid w:val="77AE4040"/>
    <w:rsid w:val="77B3343C"/>
    <w:rsid w:val="77B76F24"/>
    <w:rsid w:val="78142818"/>
    <w:rsid w:val="78765752"/>
    <w:rsid w:val="796F4924"/>
    <w:rsid w:val="7A106A1E"/>
    <w:rsid w:val="7A7A1F99"/>
    <w:rsid w:val="7ABD56AD"/>
    <w:rsid w:val="7B565048"/>
    <w:rsid w:val="7BD04AC0"/>
    <w:rsid w:val="7C1C62CE"/>
    <w:rsid w:val="7D7372F5"/>
    <w:rsid w:val="7F584A60"/>
    <w:rsid w:val="7F92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2B86C48C"/>
  <w15:docId w15:val="{A1B50B4C-61ED-41BD-B334-29B41994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qFormat/>
    <w:pPr>
      <w:keepNext/>
      <w:keepLines/>
      <w:numPr>
        <w:numId w:val="1"/>
      </w:numPr>
      <w:spacing w:before="340" w:after="330" w:line="576" w:lineRule="auto"/>
      <w:outlineLvl w:val="0"/>
    </w:pPr>
    <w:rPr>
      <w:b/>
      <w:kern w:val="44"/>
      <w:sz w:val="44"/>
    </w:rPr>
  </w:style>
  <w:style w:type="paragraph" w:styleId="2">
    <w:name w:val="heading 2"/>
    <w:basedOn w:val="a2"/>
    <w:next w:val="a2"/>
    <w:semiHidden/>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2"/>
    <w:next w:val="a2"/>
    <w:semiHidden/>
    <w:unhideWhenUsed/>
    <w:qFormat/>
    <w:pPr>
      <w:keepNext/>
      <w:keepLines/>
      <w:numPr>
        <w:ilvl w:val="2"/>
        <w:numId w:val="1"/>
      </w:numPr>
      <w:spacing w:before="260" w:after="260" w:line="413" w:lineRule="auto"/>
      <w:outlineLvl w:val="2"/>
    </w:pPr>
    <w:rPr>
      <w:b/>
      <w:sz w:val="32"/>
    </w:rPr>
  </w:style>
  <w:style w:type="paragraph" w:styleId="4">
    <w:name w:val="heading 4"/>
    <w:basedOn w:val="a2"/>
    <w:next w:val="a2"/>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2"/>
    <w:next w:val="a2"/>
    <w:semiHidden/>
    <w:unhideWhenUsed/>
    <w:qFormat/>
    <w:pPr>
      <w:keepNext/>
      <w:keepLines/>
      <w:numPr>
        <w:ilvl w:val="4"/>
        <w:numId w:val="1"/>
      </w:numPr>
      <w:spacing w:before="280" w:after="290" w:line="372" w:lineRule="auto"/>
      <w:outlineLvl w:val="4"/>
    </w:pPr>
    <w:rPr>
      <w:b/>
      <w:sz w:val="28"/>
    </w:rPr>
  </w:style>
  <w:style w:type="paragraph" w:styleId="6">
    <w:name w:val="heading 6"/>
    <w:basedOn w:val="a2"/>
    <w:next w:val="a2"/>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2"/>
    <w:next w:val="a2"/>
    <w:semiHidden/>
    <w:unhideWhenUsed/>
    <w:qFormat/>
    <w:pPr>
      <w:keepNext/>
      <w:keepLines/>
      <w:numPr>
        <w:ilvl w:val="6"/>
        <w:numId w:val="1"/>
      </w:numPr>
      <w:spacing w:before="240" w:after="64" w:line="317" w:lineRule="auto"/>
      <w:outlineLvl w:val="6"/>
    </w:pPr>
    <w:rPr>
      <w:b/>
      <w:sz w:val="24"/>
    </w:rPr>
  </w:style>
  <w:style w:type="paragraph" w:styleId="8">
    <w:name w:val="heading 8"/>
    <w:basedOn w:val="a2"/>
    <w:next w:val="a2"/>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2"/>
    <w:next w:val="a2"/>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uiPriority w:val="99"/>
    <w:qFormat/>
    <w:pPr>
      <w:spacing w:after="120"/>
    </w:pPr>
    <w:rPr>
      <w:kern w:val="0"/>
      <w:sz w:val="24"/>
    </w:rPr>
  </w:style>
  <w:style w:type="paragraph" w:styleId="a7">
    <w:name w:val="footer"/>
    <w:basedOn w:val="a2"/>
    <w:qFormat/>
    <w:pPr>
      <w:tabs>
        <w:tab w:val="center" w:pos="4153"/>
        <w:tab w:val="right" w:pos="8306"/>
      </w:tabs>
      <w:snapToGrid w:val="0"/>
      <w:jc w:val="left"/>
    </w:pPr>
    <w:rPr>
      <w:sz w:val="18"/>
    </w:rPr>
  </w:style>
  <w:style w:type="paragraph" w:styleId="a8">
    <w:name w:val="header"/>
    <w:basedOn w:val="a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2"/>
    <w:qFormat/>
    <w:rPr>
      <w:sz w:val="24"/>
    </w:rPr>
  </w:style>
  <w:style w:type="table" w:styleId="aa">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2"/>
    <w:uiPriority w:val="99"/>
    <w:qFormat/>
    <w:pPr>
      <w:ind w:firstLineChars="200" w:firstLine="420"/>
    </w:pPr>
  </w:style>
  <w:style w:type="paragraph" w:customStyle="1" w:styleId="a">
    <w:name w:val="章标题"/>
    <w:basedOn w:val="a2"/>
    <w:qFormat/>
    <w:pPr>
      <w:numPr>
        <w:numId w:val="2"/>
      </w:numPr>
    </w:pPr>
  </w:style>
  <w:style w:type="paragraph" w:customStyle="1" w:styleId="ab">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c">
    <w:name w:val="目次、标准名称标题"/>
    <w:basedOn w:val="a2"/>
    <w:next w:val="a2"/>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
    <w:name w:val="段 Char"/>
    <w:link w:val="ad"/>
    <w:qFormat/>
    <w:rPr>
      <w:rFonts w:ascii="宋体"/>
      <w:sz w:val="21"/>
    </w:rPr>
  </w:style>
  <w:style w:type="paragraph" w:customStyle="1" w:styleId="ad">
    <w:name w:val="段"/>
    <w:link w:val="Char"/>
    <w:pPr>
      <w:tabs>
        <w:tab w:val="center" w:pos="4201"/>
        <w:tab w:val="right" w:leader="dot" w:pos="9298"/>
      </w:tabs>
      <w:autoSpaceDE w:val="0"/>
      <w:autoSpaceDN w:val="0"/>
      <w:ind w:firstLineChars="200" w:firstLine="420"/>
      <w:jc w:val="both"/>
    </w:pPr>
    <w:rPr>
      <w:rFonts w:ascii="宋体"/>
      <w:sz w:val="21"/>
    </w:rPr>
  </w:style>
  <w:style w:type="paragraph" w:customStyle="1" w:styleId="a1">
    <w:name w:val="二级条标题"/>
    <w:basedOn w:val="a2"/>
    <w:next w:val="ad"/>
    <w:qFormat/>
    <w:pPr>
      <w:widowControl/>
      <w:numPr>
        <w:ilvl w:val="2"/>
        <w:numId w:val="2"/>
      </w:numPr>
      <w:spacing w:beforeLines="50" w:afterLines="50"/>
      <w:jc w:val="left"/>
      <w:outlineLvl w:val="3"/>
    </w:pPr>
    <w:rPr>
      <w:rFonts w:ascii="黑体" w:eastAsia="黑体" w:hAnsi="Times New Roman" w:cs="Times New Roman"/>
      <w:kern w:val="0"/>
      <w:szCs w:val="21"/>
    </w:rPr>
  </w:style>
  <w:style w:type="paragraph" w:customStyle="1" w:styleId="TableParagraph">
    <w:name w:val="Table Paragraph"/>
    <w:basedOn w:val="a2"/>
    <w:uiPriority w:val="1"/>
    <w:qFormat/>
    <w:pPr>
      <w:autoSpaceDE w:val="0"/>
      <w:autoSpaceDN w:val="0"/>
      <w:spacing w:before="7"/>
      <w:ind w:left="32"/>
      <w:jc w:val="center"/>
    </w:pPr>
    <w:rPr>
      <w:rFonts w:ascii="宋体" w:eastAsia="宋体" w:hAnsi="宋体" w:cs="宋体"/>
      <w:kern w:val="0"/>
      <w:sz w:val="22"/>
      <w:szCs w:val="22"/>
      <w:lang w:val="lv-LV" w:eastAsia="lv-LV" w:bidi="lv-LV"/>
    </w:rPr>
  </w:style>
  <w:style w:type="paragraph" w:customStyle="1" w:styleId="a0">
    <w:name w:val="一级条标题"/>
    <w:next w:val="ad"/>
    <w:pPr>
      <w:numPr>
        <w:ilvl w:val="1"/>
        <w:numId w:val="2"/>
      </w:numPr>
      <w:spacing w:beforeLines="50" w:afterLines="50"/>
      <w:outlineLvl w:val="2"/>
    </w:pPr>
    <w:rPr>
      <w:rFonts w:ascii="黑体" w:eastAsia="黑体"/>
      <w:sz w:val="21"/>
      <w:szCs w:val="21"/>
    </w:rPr>
  </w:style>
  <w:style w:type="paragraph" w:styleId="ae">
    <w:name w:val="List Paragraph"/>
    <w:basedOn w:val="a2"/>
    <w:uiPriority w:val="99"/>
    <w:qFormat/>
    <w:pPr>
      <w:ind w:firstLineChars="200" w:firstLine="420"/>
    </w:pPr>
  </w:style>
  <w:style w:type="paragraph" w:customStyle="1" w:styleId="af">
    <w:name w:val="字母编号列项（一级）"/>
    <w:qFormat/>
    <w:pPr>
      <w:tabs>
        <w:tab w:val="left" w:pos="840"/>
      </w:tabs>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719</Words>
  <Characters>4100</Characters>
  <Application>Microsoft Office Word</Application>
  <DocSecurity>0</DocSecurity>
  <Lines>34</Lines>
  <Paragraphs>9</Paragraphs>
  <ScaleCrop>false</ScaleCrop>
  <Company>Microsoft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13792125114@163.com</cp:lastModifiedBy>
  <cp:revision>135</cp:revision>
  <cp:lastPrinted>2020-05-12T01:31:00Z</cp:lastPrinted>
  <dcterms:created xsi:type="dcterms:W3CDTF">2020-11-20T03:42:00Z</dcterms:created>
  <dcterms:modified xsi:type="dcterms:W3CDTF">2020-12-09T08:25:00Z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