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15" w:lineRule="auto"/>
        <w:rPr>
          <w:rFonts w:ascii="方正黑体_GBK" w:eastAsia="方正黑体_GBK"/>
          <w:b w:val="0"/>
        </w:rPr>
      </w:pPr>
      <w:r>
        <w:rPr>
          <w:rFonts w:hint="eastAsia" w:ascii="方正黑体_GBK" w:eastAsia="方正黑体_GBK"/>
          <w:b w:val="0"/>
        </w:rPr>
        <w:t>附件</w:t>
      </w:r>
      <w:r>
        <w:rPr>
          <w:rFonts w:ascii="方正黑体_GBK" w:eastAsia="方正黑体_GBK"/>
          <w:b w:val="0"/>
        </w:rPr>
        <w:t>1</w:t>
      </w:r>
    </w:p>
    <w:p>
      <w:pPr>
        <w:spacing w:before="156" w:beforeLines="50"/>
        <w:jc w:val="center"/>
        <w:rPr>
          <w:rFonts w:ascii="方正大标宋_GBK" w:hAnsi="黑体" w:eastAsia="方正大标宋_GBK"/>
          <w:sz w:val="36"/>
          <w:szCs w:val="36"/>
        </w:rPr>
      </w:pPr>
      <w:bookmarkStart w:id="0" w:name="_GoBack"/>
      <w:r>
        <w:rPr>
          <w:rFonts w:hint="eastAsia" w:ascii="方正大标宋_GBK" w:hAnsi="黑体" w:eastAsia="方正大标宋_GBK"/>
          <w:bCs/>
          <w:sz w:val="36"/>
          <w:szCs w:val="36"/>
        </w:rPr>
        <w:t>煤炭工业安全高效矿井（露天）标准及评审办法</w:t>
      </w:r>
    </w:p>
    <w:bookmarkEnd w:id="0"/>
    <w:p>
      <w:pPr>
        <w:jc w:val="center"/>
        <w:rPr>
          <w:bCs/>
          <w:sz w:val="30"/>
          <w:szCs w:val="30"/>
        </w:rPr>
      </w:pPr>
    </w:p>
    <w:p>
      <w:pPr>
        <w:jc w:val="center"/>
        <w:rPr>
          <w:rFonts w:ascii="方正黑体_GBK" w:hAnsi="黑体" w:eastAsia="方正黑体_GBK"/>
          <w:bCs/>
          <w:sz w:val="30"/>
          <w:szCs w:val="30"/>
        </w:rPr>
      </w:pPr>
      <w:r>
        <w:rPr>
          <w:rFonts w:hint="eastAsia" w:ascii="方正黑体_GBK" w:hAnsi="黑体" w:eastAsia="方正黑体_GBK"/>
          <w:bCs/>
          <w:sz w:val="30"/>
          <w:szCs w:val="30"/>
        </w:rPr>
        <w:t>第一章总则</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第一条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为贯彻落实国家关于能源革命及促进煤炭工业发展的相关政策要求，推动科技进步与管理创新，提高煤炭工业科学化水平，引导煤炭企业科学、安全、绿色和可持续发展，打造煤炭工业的升级版，特制定《煤炭工业安全高效矿井（露天）标准及评审办法》（以下简称《标准及评审办法》）。</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第二条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本《标准及评审办法》适用于全国各类合法生产经营的</w:t>
      </w:r>
      <w:r>
        <w:rPr>
          <w:rFonts w:ascii="Times New Roman" w:hAnsi="Times New Roman" w:eastAsia="方正仿宋_GBK" w:cs="Times New Roman"/>
          <w:bCs/>
          <w:color w:val="000000"/>
          <w:sz w:val="30"/>
          <w:szCs w:val="30"/>
        </w:rPr>
        <w:t>煤矿</w:t>
      </w:r>
      <w:r>
        <w:rPr>
          <w:rFonts w:ascii="Times New Roman" w:hAnsi="Times New Roman" w:eastAsia="方正仿宋_GBK" w:cs="Times New Roman"/>
          <w:bCs/>
          <w:sz w:val="30"/>
          <w:szCs w:val="30"/>
        </w:rPr>
        <w:t>。</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第三条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本《标准及评审办法》所称煤炭工业安全高效矿井（露天）是安全生产、机械化程度、工作面单产、原煤生产人员效率、资源回收率等指标达到规定等级标准，经济效益、劳动定员和矿区生态文明建设等符合规定要求的</w:t>
      </w:r>
      <w:r>
        <w:rPr>
          <w:rFonts w:ascii="Times New Roman" w:hAnsi="Times New Roman" w:eastAsia="方正仿宋_GBK" w:cs="Times New Roman"/>
          <w:bCs/>
          <w:color w:val="000000"/>
          <w:sz w:val="30"/>
          <w:szCs w:val="30"/>
        </w:rPr>
        <w:t>井工煤矿或露天煤矿</w:t>
      </w:r>
      <w:r>
        <w:rPr>
          <w:rFonts w:ascii="Times New Roman" w:hAnsi="Times New Roman" w:eastAsia="方正仿宋_GBK" w:cs="Times New Roman"/>
          <w:bCs/>
          <w:sz w:val="30"/>
          <w:szCs w:val="30"/>
        </w:rPr>
        <w:t>。</w:t>
      </w:r>
    </w:p>
    <w:p>
      <w:pPr>
        <w:ind w:firstLine="594" w:firstLineChars="198"/>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第四条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煤炭工业安全高效矿井（露天）设立三个级别：</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Cs/>
          <w:sz w:val="30"/>
          <w:szCs w:val="30"/>
        </w:rPr>
        <w:t>（一）煤炭工业特级安全高效矿井（露天）；</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（二）煤炭工业一级安全高效矿井（露天）；</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（三）煤炭工业二级安全高效矿井（露天）。</w:t>
      </w:r>
    </w:p>
    <w:p>
      <w:pPr>
        <w:spacing w:before="156" w:beforeLines="50"/>
        <w:jc w:val="center"/>
        <w:rPr>
          <w:rFonts w:ascii="方正黑体_GBK" w:hAnsi="Times New Roman" w:eastAsia="方正黑体_GBK" w:cs="Times New Roman"/>
          <w:bCs/>
          <w:sz w:val="30"/>
          <w:szCs w:val="30"/>
        </w:rPr>
      </w:pPr>
      <w:r>
        <w:rPr>
          <w:rFonts w:hint="eastAsia" w:ascii="方正黑体_GBK" w:hAnsi="Times New Roman" w:eastAsia="方正黑体_GBK" w:cs="Times New Roman"/>
          <w:bCs/>
          <w:sz w:val="30"/>
          <w:szCs w:val="30"/>
        </w:rPr>
        <w:t>第二章  标准</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
          <w:bCs/>
          <w:sz w:val="30"/>
          <w:szCs w:val="30"/>
        </w:rPr>
        <w:t>第五条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煤炭工业安全高效矿井（露天）应达到以下标准：</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（一）安全生产</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安全生产标准化达标，未发生较大及以上安全生产事故。煤炭工业特级安全高效矿井（露天）百万吨死亡率为0；煤炭工业一级安全高效矿井（露天）百万吨死亡率低于全国煤矿平均水平；煤炭工业二级安全高效矿井（露天）百万吨死亡率低于全国或本省（区、市）煤矿平均水平。</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（二）机械化程度</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1. 露天煤矿</w:t>
      </w:r>
      <w:r>
        <w:rPr>
          <w:rFonts w:ascii="Times New Roman" w:hAnsi="Times New Roman" w:eastAsia="方正仿宋_GBK" w:cs="Times New Roman"/>
          <w:sz w:val="30"/>
          <w:szCs w:val="30"/>
        </w:rPr>
        <w:t>采装、运输、排土</w:t>
      </w:r>
      <w:r>
        <w:rPr>
          <w:rFonts w:ascii="Times New Roman" w:hAnsi="Times New Roman" w:eastAsia="方正仿宋_GBK" w:cs="Times New Roman"/>
          <w:bCs/>
          <w:sz w:val="30"/>
          <w:szCs w:val="30"/>
        </w:rPr>
        <w:t>机械化程度应达到100%。</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井工煤矿采煤机械化程度应符合表1要求。</w:t>
      </w:r>
    </w:p>
    <w:p>
      <w:pPr>
        <w:jc w:val="center"/>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表1  井工煤矿采煤机械化程度</w:t>
      </w:r>
    </w:p>
    <w:tbl>
      <w:tblPr>
        <w:tblStyle w:val="8"/>
        <w:tblW w:w="0" w:type="auto"/>
        <w:tblInd w:w="675"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79"/>
        <w:gridCol w:w="1480"/>
        <w:gridCol w:w="148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vMerge w:val="restart"/>
            <w:tcBorders>
              <w:top w:val="single" w:color="auto" w:sz="18" w:space="0"/>
            </w:tcBorders>
            <w:vAlign w:val="center"/>
          </w:tcPr>
          <w:p>
            <w:pP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核定能力（万t/a）</w:t>
            </w:r>
          </w:p>
        </w:tc>
        <w:tc>
          <w:tcPr>
            <w:tcW w:w="4439" w:type="dxa"/>
            <w:gridSpan w:val="3"/>
            <w:tcBorders>
              <w:top w:val="single" w:color="auto" w:sz="18" w:space="0"/>
            </w:tcBorders>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采煤机械化程度（%）</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vMerge w:val="continue"/>
            <w:vAlign w:val="center"/>
          </w:tcPr>
          <w:p>
            <w:pPr>
              <w:widowControl/>
              <w:jc w:val="left"/>
              <w:rPr>
                <w:rFonts w:ascii="Times New Roman" w:hAnsi="Times New Roman" w:eastAsia="方正仿宋_GBK" w:cs="Times New Roman"/>
                <w:bCs/>
                <w:sz w:val="28"/>
                <w:szCs w:val="30"/>
              </w:rPr>
            </w:pPr>
          </w:p>
        </w:tc>
        <w:tc>
          <w:tcPr>
            <w:tcW w:w="1479"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特级</w:t>
            </w:r>
          </w:p>
        </w:tc>
        <w:tc>
          <w:tcPr>
            <w:tcW w:w="1480"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一级</w:t>
            </w:r>
          </w:p>
        </w:tc>
        <w:tc>
          <w:tcPr>
            <w:tcW w:w="1480"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二级</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300</w:t>
            </w:r>
          </w:p>
        </w:tc>
        <w:tc>
          <w:tcPr>
            <w:tcW w:w="1479"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95</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85</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80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sz w:val="28"/>
                <w:szCs w:val="30"/>
              </w:rPr>
              <w:t>120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~300</w:t>
            </w:r>
          </w:p>
        </w:tc>
        <w:tc>
          <w:tcPr>
            <w:tcW w:w="1479"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90</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80</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sz w:val="28"/>
                <w:szCs w:val="30"/>
              </w:rPr>
              <w:t>60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~120</w:t>
            </w:r>
          </w:p>
        </w:tc>
        <w:tc>
          <w:tcPr>
            <w:tcW w:w="1479"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85</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70</w:t>
            </w:r>
          </w:p>
        </w:tc>
        <w:tc>
          <w:tcPr>
            <w:tcW w:w="1480"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60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Borders>
              <w:bottom w:val="single" w:color="auto" w:sz="18" w:space="0"/>
            </w:tcBorders>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sz w:val="28"/>
                <w:szCs w:val="30"/>
              </w:rPr>
              <w:t>30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~60</w:t>
            </w:r>
          </w:p>
        </w:tc>
        <w:tc>
          <w:tcPr>
            <w:tcW w:w="1479" w:type="dxa"/>
            <w:tcBorders>
              <w:bottom w:val="single" w:color="auto" w:sz="18" w:space="0"/>
            </w:tcBorders>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w:t>
            </w:r>
          </w:p>
        </w:tc>
        <w:tc>
          <w:tcPr>
            <w:tcW w:w="1480" w:type="dxa"/>
            <w:tcBorders>
              <w:bottom w:val="single" w:color="auto" w:sz="18" w:space="0"/>
            </w:tcBorders>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55</w:t>
            </w:r>
          </w:p>
        </w:tc>
        <w:tc>
          <w:tcPr>
            <w:tcW w:w="1480" w:type="dxa"/>
            <w:tcBorders>
              <w:bottom w:val="single" w:color="auto" w:sz="18" w:space="0"/>
            </w:tcBorders>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40</w:t>
            </w:r>
          </w:p>
        </w:tc>
      </w:tr>
    </w:tbl>
    <w:p>
      <w:pPr>
        <w:spacing w:before="156" w:beforeLines="50"/>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3. 井工煤矿掘进机械化程度应符合表2要求。</w:t>
      </w:r>
    </w:p>
    <w:p>
      <w:pPr>
        <w:jc w:val="center"/>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表2  井工煤矿掘进机械化程度</w:t>
      </w:r>
    </w:p>
    <w:tbl>
      <w:tblPr>
        <w:tblStyle w:val="8"/>
        <w:tblW w:w="0" w:type="auto"/>
        <w:tblInd w:w="675"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65"/>
        <w:gridCol w:w="1465"/>
        <w:gridCol w:w="1465"/>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vMerge w:val="restart"/>
            <w:tcBorders>
              <w:top w:val="single" w:color="auto" w:sz="18" w:space="0"/>
            </w:tcBorders>
            <w:vAlign w:val="center"/>
          </w:tcPr>
          <w:p>
            <w:pP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核定能力（万t/a）</w:t>
            </w:r>
          </w:p>
        </w:tc>
        <w:tc>
          <w:tcPr>
            <w:tcW w:w="4395" w:type="dxa"/>
            <w:gridSpan w:val="3"/>
            <w:tcBorders>
              <w:top w:val="single" w:color="auto" w:sz="18" w:space="0"/>
            </w:tcBorders>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掘进机械化程度（%）</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vMerge w:val="continue"/>
            <w:vAlign w:val="center"/>
          </w:tcPr>
          <w:p>
            <w:pPr>
              <w:widowControl/>
              <w:jc w:val="left"/>
              <w:rPr>
                <w:rFonts w:ascii="Times New Roman" w:hAnsi="Times New Roman" w:eastAsia="方正仿宋_GBK" w:cs="Times New Roman"/>
                <w:bCs/>
                <w:sz w:val="28"/>
                <w:szCs w:val="30"/>
              </w:rPr>
            </w:pPr>
          </w:p>
        </w:tc>
        <w:tc>
          <w:tcPr>
            <w:tcW w:w="1465"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特级</w:t>
            </w:r>
          </w:p>
        </w:tc>
        <w:tc>
          <w:tcPr>
            <w:tcW w:w="1465"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一级</w:t>
            </w:r>
          </w:p>
        </w:tc>
        <w:tc>
          <w:tcPr>
            <w:tcW w:w="1465" w:type="dxa"/>
            <w:vAlign w:val="center"/>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二级</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300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80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60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120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~300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60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50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Pr>
          <w:p>
            <w:pPr>
              <w:ind w:left="-31"/>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60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~120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60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40</w:t>
            </w:r>
          </w:p>
        </w:tc>
        <w:tc>
          <w:tcPr>
            <w:tcW w:w="1465" w:type="dxa"/>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35" w:type="dxa"/>
            <w:tcBorders>
              <w:bottom w:val="single" w:color="auto" w:sz="18" w:space="0"/>
            </w:tcBorders>
          </w:tcPr>
          <w:p>
            <w:pPr>
              <w:ind w:left="-31"/>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30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~60</w:t>
            </w:r>
          </w:p>
        </w:tc>
        <w:tc>
          <w:tcPr>
            <w:tcW w:w="1465" w:type="dxa"/>
            <w:tcBorders>
              <w:bottom w:val="single" w:color="auto" w:sz="18" w:space="0"/>
            </w:tcBorders>
          </w:tcPr>
          <w:p>
            <w:pPr>
              <w:ind w:left="-31"/>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w:t>
            </w:r>
          </w:p>
        </w:tc>
        <w:tc>
          <w:tcPr>
            <w:tcW w:w="1465" w:type="dxa"/>
            <w:tcBorders>
              <w:bottom w:val="single" w:color="auto" w:sz="18" w:space="0"/>
            </w:tcBorders>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30</w:t>
            </w:r>
          </w:p>
        </w:tc>
        <w:tc>
          <w:tcPr>
            <w:tcW w:w="1465" w:type="dxa"/>
            <w:tcBorders>
              <w:bottom w:val="single" w:color="auto" w:sz="18" w:space="0"/>
            </w:tcBorders>
          </w:tcPr>
          <w:p>
            <w:pPr>
              <w:ind w:left="-31"/>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20</w:t>
            </w:r>
          </w:p>
        </w:tc>
      </w:tr>
    </w:tbl>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（三）信息化与自动化</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Cs/>
          <w:sz w:val="30"/>
          <w:szCs w:val="30"/>
        </w:rPr>
        <w:t>1. 煤矿实现信息的集中监控、自动采集、集中传输及运用；</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煤矿对供电、提升、运输、通风、排水、压风、瓦斯抽采等生产系统主要设备实施安全监控、自动化运行和可视化；</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3. 煤矿建立网上办公系统。</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（四）采掘（采剥）方法和生产系统</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1. 采掘（采剥）方法、工艺和技术装备符合《煤矿安全规程》规定，选择科学合理，技术先进适用；</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2. 合理集中生产，优化采掘（采剥）布置，接替正常</w:t>
      </w:r>
      <w:r>
        <w:rPr>
          <w:rFonts w:ascii="Times New Roman" w:hAnsi="Times New Roman" w:eastAsia="方正仿宋_GBK" w:cs="Times New Roman"/>
          <w:bCs/>
          <w:sz w:val="30"/>
          <w:szCs w:val="30"/>
        </w:rPr>
        <w:t>，</w:t>
      </w:r>
      <w:r>
        <w:rPr>
          <w:rFonts w:ascii="Times New Roman" w:hAnsi="Times New Roman" w:eastAsia="方正仿宋_GBK" w:cs="Times New Roman"/>
          <w:sz w:val="30"/>
          <w:szCs w:val="30"/>
        </w:rPr>
        <w:t>开采程序符合规定；</w:t>
      </w:r>
    </w:p>
    <w:p>
      <w:pPr>
        <w:ind w:firstLine="54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3. 优化安全生产系统，通风、供电、提升、运输、排水、瓦斯抽采等主要系统布局合理，运行稳定。</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（五）综合单产</w:t>
      </w:r>
    </w:p>
    <w:p>
      <w:pPr>
        <w:ind w:firstLine="555"/>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1. 井工煤矿综合单产应符合表3要求。</w:t>
      </w:r>
    </w:p>
    <w:p>
      <w:pPr>
        <w:jc w:val="center"/>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表3  井工煤矿综合单产</w:t>
      </w:r>
    </w:p>
    <w:tbl>
      <w:tblPr>
        <w:tblStyle w:val="8"/>
        <w:tblW w:w="0" w:type="auto"/>
        <w:tblInd w:w="675"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559"/>
        <w:gridCol w:w="1559"/>
        <w:gridCol w:w="156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Merge w:val="restart"/>
            <w:tcBorders>
              <w:top w:val="single" w:color="auto" w:sz="18" w:space="0"/>
            </w:tcBorders>
            <w:vAlign w:val="center"/>
          </w:tcPr>
          <w:p>
            <w:pP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核定能力（万t/a）</w:t>
            </w:r>
          </w:p>
        </w:tc>
        <w:tc>
          <w:tcPr>
            <w:tcW w:w="4678" w:type="dxa"/>
            <w:gridSpan w:val="3"/>
            <w:tcBorders>
              <w:top w:val="single" w:color="auto" w:sz="18" w:space="0"/>
            </w:tcBorders>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综合单产〔万t/（个•月）〕</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Merge w:val="continue"/>
            <w:vAlign w:val="center"/>
          </w:tcPr>
          <w:p>
            <w:pPr>
              <w:widowControl/>
              <w:jc w:val="left"/>
              <w:rPr>
                <w:rFonts w:ascii="Times New Roman" w:hAnsi="Times New Roman" w:eastAsia="方正仿宋_GBK" w:cs="Times New Roman"/>
                <w:bCs/>
                <w:sz w:val="28"/>
                <w:szCs w:val="28"/>
              </w:rPr>
            </w:pPr>
          </w:p>
        </w:tc>
        <w:tc>
          <w:tcPr>
            <w:tcW w:w="1559"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特级</w:t>
            </w:r>
          </w:p>
        </w:tc>
        <w:tc>
          <w:tcPr>
            <w:tcW w:w="1559"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一级</w:t>
            </w:r>
          </w:p>
        </w:tc>
        <w:tc>
          <w:tcPr>
            <w:tcW w:w="1560"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二级</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300</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15</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12</w:t>
            </w:r>
          </w:p>
        </w:tc>
        <w:tc>
          <w:tcPr>
            <w:tcW w:w="1560"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9</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tcPr>
          <w:p>
            <w:pPr>
              <w:ind w:left="-31"/>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120</w:t>
            </w:r>
            <w:r>
              <w:rPr>
                <w:rFonts w:hint="eastAsia" w:ascii="Times New Roman" w:hAnsi="Times New Roman" w:eastAsia="方正仿宋_GBK" w:cs="Times New Roman"/>
                <w:sz w:val="28"/>
                <w:szCs w:val="28"/>
              </w:rPr>
              <w:t>（含）</w:t>
            </w:r>
            <w:r>
              <w:rPr>
                <w:rFonts w:ascii="Times New Roman" w:hAnsi="Times New Roman" w:eastAsia="方正仿宋_GBK" w:cs="Times New Roman"/>
                <w:sz w:val="28"/>
                <w:szCs w:val="28"/>
              </w:rPr>
              <w:t>~300</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10</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7</w:t>
            </w:r>
          </w:p>
        </w:tc>
        <w:tc>
          <w:tcPr>
            <w:tcW w:w="1560"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tcPr>
          <w:p>
            <w:pPr>
              <w:ind w:left="-31"/>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60</w:t>
            </w:r>
            <w:r>
              <w:rPr>
                <w:rFonts w:hint="eastAsia" w:ascii="Times New Roman" w:hAnsi="Times New Roman" w:eastAsia="方正仿宋_GBK" w:cs="Times New Roman"/>
                <w:sz w:val="28"/>
                <w:szCs w:val="28"/>
              </w:rPr>
              <w:t>（含）</w:t>
            </w:r>
            <w:r>
              <w:rPr>
                <w:rFonts w:ascii="Times New Roman" w:hAnsi="Times New Roman" w:eastAsia="方正仿宋_GBK" w:cs="Times New Roman"/>
                <w:sz w:val="28"/>
                <w:szCs w:val="28"/>
              </w:rPr>
              <w:t>~120</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6</w:t>
            </w:r>
          </w:p>
        </w:tc>
        <w:tc>
          <w:tcPr>
            <w:tcW w:w="1559"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4</w:t>
            </w:r>
          </w:p>
        </w:tc>
        <w:tc>
          <w:tcPr>
            <w:tcW w:w="1560" w:type="dxa"/>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3</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tcBorders>
              <w:bottom w:val="single" w:color="auto" w:sz="18" w:space="0"/>
            </w:tcBorders>
          </w:tcPr>
          <w:p>
            <w:pPr>
              <w:ind w:left="-31"/>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30</w:t>
            </w:r>
            <w:r>
              <w:rPr>
                <w:rFonts w:hint="eastAsia" w:ascii="Times New Roman" w:hAnsi="Times New Roman" w:eastAsia="方正仿宋_GBK" w:cs="Times New Roman"/>
                <w:sz w:val="28"/>
                <w:szCs w:val="28"/>
              </w:rPr>
              <w:t>（含）</w:t>
            </w:r>
            <w:r>
              <w:rPr>
                <w:rFonts w:ascii="Times New Roman" w:hAnsi="Times New Roman" w:eastAsia="方正仿宋_GBK" w:cs="Times New Roman"/>
                <w:sz w:val="28"/>
                <w:szCs w:val="28"/>
              </w:rPr>
              <w:t>~60</w:t>
            </w:r>
          </w:p>
        </w:tc>
        <w:tc>
          <w:tcPr>
            <w:tcW w:w="1559" w:type="dxa"/>
            <w:tcBorders>
              <w:bottom w:val="single" w:color="auto" w:sz="18" w:space="0"/>
            </w:tcBorders>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w:t>
            </w:r>
          </w:p>
        </w:tc>
        <w:tc>
          <w:tcPr>
            <w:tcW w:w="1559" w:type="dxa"/>
            <w:tcBorders>
              <w:bottom w:val="single" w:color="auto" w:sz="18" w:space="0"/>
            </w:tcBorders>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3</w:t>
            </w:r>
          </w:p>
        </w:tc>
        <w:tc>
          <w:tcPr>
            <w:tcW w:w="1560" w:type="dxa"/>
            <w:tcBorders>
              <w:bottom w:val="single" w:color="auto" w:sz="18" w:space="0"/>
            </w:tcBorders>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2</w:t>
            </w:r>
          </w:p>
        </w:tc>
      </w:tr>
    </w:tbl>
    <w:p>
      <w:pPr>
        <w:ind w:firstLine="54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注：井工煤矿开采难采煤层：薄煤层（&lt;1.3m）或倾角≥25°的煤层，考核综合单产乘0.5系数；煤（岩）与瓦斯（二氧化碳）突出、极复杂地质水文条件、冲击地压矿井，考核综合单产乘0.6系数；高瓦斯、复杂水文地质条件、高温热害矿井，考核综合单产乘0.8系数。</w:t>
      </w:r>
    </w:p>
    <w:p>
      <w:pPr>
        <w:ind w:firstLine="54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露天煤矿综合单产应符合表4要求。</w:t>
      </w:r>
    </w:p>
    <w:p>
      <w:pPr>
        <w:jc w:val="center"/>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表4  露天煤矿综合单产</w:t>
      </w:r>
    </w:p>
    <w:tbl>
      <w:tblPr>
        <w:tblStyle w:val="8"/>
        <w:tblW w:w="0" w:type="auto"/>
        <w:tblInd w:w="675"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559"/>
        <w:gridCol w:w="1559"/>
        <w:gridCol w:w="156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Merge w:val="restart"/>
            <w:tcBorders>
              <w:top w:val="single" w:color="auto" w:sz="18" w:space="0"/>
            </w:tcBorders>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核定能力（万t/a）</w:t>
            </w:r>
          </w:p>
        </w:tc>
        <w:tc>
          <w:tcPr>
            <w:tcW w:w="4678" w:type="dxa"/>
            <w:gridSpan w:val="3"/>
            <w:tcBorders>
              <w:top w:val="single" w:color="auto" w:sz="18" w:space="0"/>
            </w:tcBorders>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综合单产〔万t/（个•月）〕</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Merge w:val="continue"/>
            <w:vAlign w:val="center"/>
          </w:tcPr>
          <w:p>
            <w:pPr>
              <w:widowControl/>
              <w:jc w:val="center"/>
              <w:rPr>
                <w:rFonts w:ascii="Times New Roman" w:hAnsi="Times New Roman" w:eastAsia="方正仿宋_GBK" w:cs="Times New Roman"/>
                <w:bCs/>
                <w:sz w:val="28"/>
                <w:szCs w:val="28"/>
              </w:rPr>
            </w:pPr>
          </w:p>
        </w:tc>
        <w:tc>
          <w:tcPr>
            <w:tcW w:w="1559"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特级</w:t>
            </w:r>
          </w:p>
        </w:tc>
        <w:tc>
          <w:tcPr>
            <w:tcW w:w="1559"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一级</w:t>
            </w:r>
          </w:p>
        </w:tc>
        <w:tc>
          <w:tcPr>
            <w:tcW w:w="1560"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二级</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600</w:t>
            </w:r>
          </w:p>
        </w:tc>
        <w:tc>
          <w:tcPr>
            <w:tcW w:w="1559"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20</w:t>
            </w:r>
          </w:p>
        </w:tc>
        <w:tc>
          <w:tcPr>
            <w:tcW w:w="1559"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15</w:t>
            </w:r>
          </w:p>
        </w:tc>
        <w:tc>
          <w:tcPr>
            <w:tcW w:w="1560"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12</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sz w:val="28"/>
                <w:szCs w:val="28"/>
              </w:rPr>
              <w:t>300</w:t>
            </w:r>
            <w:r>
              <w:rPr>
                <w:rFonts w:hint="eastAsia" w:ascii="Times New Roman" w:hAnsi="Times New Roman" w:eastAsia="方正仿宋_GBK" w:cs="Times New Roman"/>
                <w:sz w:val="28"/>
                <w:szCs w:val="28"/>
              </w:rPr>
              <w:t>（含）</w:t>
            </w:r>
            <w:r>
              <w:rPr>
                <w:rFonts w:ascii="Times New Roman" w:hAnsi="Times New Roman" w:eastAsia="方正仿宋_GBK" w:cs="Times New Roman"/>
                <w:sz w:val="28"/>
                <w:szCs w:val="28"/>
              </w:rPr>
              <w:t>~600</w:t>
            </w:r>
          </w:p>
        </w:tc>
        <w:tc>
          <w:tcPr>
            <w:tcW w:w="1559"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15</w:t>
            </w:r>
          </w:p>
        </w:tc>
        <w:tc>
          <w:tcPr>
            <w:tcW w:w="1559"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12</w:t>
            </w:r>
          </w:p>
        </w:tc>
        <w:tc>
          <w:tcPr>
            <w:tcW w:w="1560" w:type="dxa"/>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9</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2" w:type="dxa"/>
            <w:tcBorders>
              <w:bottom w:val="single" w:color="auto" w:sz="18" w:space="0"/>
            </w:tcBorders>
            <w:vAlign w:val="center"/>
          </w:tcPr>
          <w:p>
            <w:pPr>
              <w:ind w:left="-31"/>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＜300</w:t>
            </w:r>
          </w:p>
        </w:tc>
        <w:tc>
          <w:tcPr>
            <w:tcW w:w="1559" w:type="dxa"/>
            <w:tcBorders>
              <w:bottom w:val="single" w:color="auto" w:sz="18" w:space="0"/>
            </w:tcBorders>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12</w:t>
            </w:r>
          </w:p>
        </w:tc>
        <w:tc>
          <w:tcPr>
            <w:tcW w:w="1559" w:type="dxa"/>
            <w:tcBorders>
              <w:bottom w:val="single" w:color="auto" w:sz="18" w:space="0"/>
            </w:tcBorders>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8</w:t>
            </w:r>
          </w:p>
        </w:tc>
        <w:tc>
          <w:tcPr>
            <w:tcW w:w="1560" w:type="dxa"/>
            <w:tcBorders>
              <w:bottom w:val="single" w:color="auto" w:sz="18" w:space="0"/>
            </w:tcBorders>
            <w:vAlign w:val="center"/>
          </w:tcPr>
          <w:p>
            <w:pPr>
              <w:ind w:left="-31"/>
              <w:jc w:val="center"/>
              <w:rPr>
                <w:rFonts w:ascii="Times New Roman" w:hAnsi="Times New Roman" w:eastAsia="方正仿宋_GBK" w:cs="Times New Roman"/>
                <w:bCs/>
                <w:sz w:val="28"/>
                <w:szCs w:val="28"/>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28"/>
              </w:rPr>
              <w:t>5</w:t>
            </w:r>
          </w:p>
        </w:tc>
      </w:tr>
    </w:tbl>
    <w:p>
      <w:pPr>
        <w:spacing w:before="156" w:beforeLines="50"/>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（六）原煤生产人员效率</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1. 井工煤矿原煤生产人员效率应符合表5要求。</w:t>
      </w:r>
    </w:p>
    <w:p>
      <w:pPr>
        <w:jc w:val="center"/>
        <w:rPr>
          <w:rFonts w:ascii="Times New Roman" w:hAnsi="Times New Roman" w:eastAsia="方正仿宋_GBK" w:cs="Times New Roman"/>
          <w:sz w:val="30"/>
          <w:szCs w:val="30"/>
        </w:rPr>
      </w:pPr>
      <w:r>
        <w:rPr>
          <w:rFonts w:ascii="Times New Roman" w:hAnsi="Times New Roman" w:eastAsia="方正仿宋_GBK" w:cs="Times New Roman"/>
          <w:bCs/>
          <w:sz w:val="30"/>
          <w:szCs w:val="30"/>
        </w:rPr>
        <w:t>表5  井工煤矿原煤生产人员效率</w:t>
      </w:r>
    </w:p>
    <w:tbl>
      <w:tblPr>
        <w:tblStyle w:val="8"/>
        <w:tblW w:w="0" w:type="auto"/>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210"/>
        <w:gridCol w:w="1690"/>
        <w:gridCol w:w="1819"/>
        <w:gridCol w:w="1950"/>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vMerge w:val="restart"/>
            <w:tcBorders>
              <w:top w:val="single" w:color="000000" w:sz="18" w:space="0"/>
            </w:tcBorders>
            <w:tcMar>
              <w:top w:w="15" w:type="dxa"/>
              <w:left w:w="108" w:type="dxa"/>
              <w:bottom w:w="0" w:type="dxa"/>
              <w:right w:w="108" w:type="dxa"/>
            </w:tcMar>
            <w:vAlign w:val="center"/>
          </w:tcPr>
          <w:p>
            <w:pPr>
              <w:spacing w:line="440" w:lineRule="exact"/>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矿井实际产量</w:t>
            </w:r>
          </w:p>
          <w:p>
            <w:pPr>
              <w:spacing w:line="440" w:lineRule="exact"/>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（万t/</w:t>
            </w:r>
            <w:r>
              <w:rPr>
                <w:rFonts w:hint="eastAsia" w:ascii="Times New Roman" w:hAnsi="Times New Roman" w:eastAsia="方正仿宋_GBK" w:cs="Times New Roman"/>
                <w:bCs/>
                <w:sz w:val="28"/>
                <w:szCs w:val="30"/>
              </w:rPr>
              <w:t>a</w:t>
            </w:r>
            <w:r>
              <w:rPr>
                <w:rFonts w:ascii="Times New Roman" w:hAnsi="Times New Roman" w:eastAsia="方正仿宋_GBK" w:cs="Times New Roman"/>
                <w:bCs/>
                <w:sz w:val="28"/>
                <w:szCs w:val="30"/>
              </w:rPr>
              <w:t>）</w:t>
            </w:r>
          </w:p>
        </w:tc>
        <w:tc>
          <w:tcPr>
            <w:tcW w:w="5459" w:type="dxa"/>
            <w:gridSpan w:val="3"/>
            <w:tcBorders>
              <w:top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原煤生产人员效率（t/工）</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vMerge w:val="continue"/>
            <w:vAlign w:val="center"/>
          </w:tcPr>
          <w:p>
            <w:pPr>
              <w:widowControl/>
              <w:jc w:val="center"/>
              <w:rPr>
                <w:rFonts w:ascii="Times New Roman" w:hAnsi="Times New Roman" w:eastAsia="方正仿宋_GBK" w:cs="Times New Roman"/>
                <w:sz w:val="28"/>
                <w:szCs w:val="30"/>
              </w:rPr>
            </w:pPr>
          </w:p>
        </w:tc>
        <w:tc>
          <w:tcPr>
            <w:tcW w:w="169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特级</w:t>
            </w:r>
          </w:p>
        </w:tc>
        <w:tc>
          <w:tcPr>
            <w:tcW w:w="1819"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一级</w:t>
            </w:r>
          </w:p>
        </w:tc>
        <w:tc>
          <w:tcPr>
            <w:tcW w:w="195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二级</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vertAlign w:val="subscript"/>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300</w:t>
            </w:r>
          </w:p>
        </w:tc>
        <w:tc>
          <w:tcPr>
            <w:tcW w:w="169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vertAlign w:val="subscript"/>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13</w:t>
            </w:r>
          </w:p>
        </w:tc>
        <w:tc>
          <w:tcPr>
            <w:tcW w:w="1819"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10</w:t>
            </w:r>
          </w:p>
        </w:tc>
        <w:tc>
          <w:tcPr>
            <w:tcW w:w="195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sz w:val="28"/>
                <w:szCs w:val="30"/>
              </w:rPr>
              <w:t>120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~300</w:t>
            </w:r>
          </w:p>
        </w:tc>
        <w:tc>
          <w:tcPr>
            <w:tcW w:w="1690"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10</w:t>
            </w:r>
          </w:p>
        </w:tc>
        <w:tc>
          <w:tcPr>
            <w:tcW w:w="1819"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w:t>
            </w:r>
          </w:p>
        </w:tc>
        <w:tc>
          <w:tcPr>
            <w:tcW w:w="1950"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60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~120</w:t>
            </w:r>
          </w:p>
        </w:tc>
        <w:tc>
          <w:tcPr>
            <w:tcW w:w="169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7</w:t>
            </w:r>
          </w:p>
        </w:tc>
        <w:tc>
          <w:tcPr>
            <w:tcW w:w="1819"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5</w:t>
            </w:r>
          </w:p>
        </w:tc>
        <w:tc>
          <w:tcPr>
            <w:tcW w:w="1950"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10"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30</w:t>
            </w:r>
            <w:r>
              <w:rPr>
                <w:rFonts w:hint="eastAsia" w:ascii="Times New Roman" w:hAnsi="Times New Roman" w:eastAsia="方正仿宋_GBK" w:cs="Times New Roman"/>
                <w:sz w:val="28"/>
                <w:szCs w:val="30"/>
              </w:rPr>
              <w:t>（含）</w:t>
            </w:r>
            <w:r>
              <w:rPr>
                <w:rFonts w:ascii="Times New Roman" w:hAnsi="Times New Roman" w:eastAsia="方正仿宋_GBK" w:cs="Times New Roman"/>
                <w:sz w:val="28"/>
                <w:szCs w:val="30"/>
              </w:rPr>
              <w:t>~60</w:t>
            </w:r>
          </w:p>
        </w:tc>
        <w:tc>
          <w:tcPr>
            <w:tcW w:w="1690"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bCs/>
                <w:sz w:val="28"/>
                <w:szCs w:val="30"/>
              </w:rPr>
              <w:t>——</w:t>
            </w:r>
          </w:p>
        </w:tc>
        <w:tc>
          <w:tcPr>
            <w:tcW w:w="1819"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3</w:t>
            </w:r>
          </w:p>
        </w:tc>
        <w:tc>
          <w:tcPr>
            <w:tcW w:w="1950"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hint="eastAsia" w:ascii="方正仿宋_GBK" w:hAnsi="Times New Roman" w:eastAsia="方正仿宋_GBK" w:cs="Times New Roman"/>
                <w:bCs/>
                <w:sz w:val="28"/>
                <w:szCs w:val="30"/>
              </w:rPr>
              <w:t>≥</w:t>
            </w:r>
            <w:r>
              <w:rPr>
                <w:rFonts w:ascii="Times New Roman" w:hAnsi="Times New Roman" w:eastAsia="方正仿宋_GBK" w:cs="Times New Roman"/>
                <w:bCs/>
                <w:sz w:val="28"/>
                <w:szCs w:val="30"/>
              </w:rPr>
              <w:t>2</w:t>
            </w:r>
          </w:p>
        </w:tc>
      </w:tr>
    </w:tbl>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注：难采煤层原煤生产人员效率的调整系数与考核综合单产系数相同。</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露天煤矿原煤生产人员效率应符合表6要求。</w:t>
      </w:r>
    </w:p>
    <w:p>
      <w:pPr>
        <w:jc w:val="center"/>
        <w:rPr>
          <w:rFonts w:ascii="Times New Roman" w:hAnsi="Times New Roman" w:eastAsia="方正仿宋_GBK" w:cs="Times New Roman"/>
          <w:sz w:val="30"/>
          <w:szCs w:val="30"/>
        </w:rPr>
      </w:pPr>
      <w:r>
        <w:rPr>
          <w:rFonts w:ascii="Times New Roman" w:hAnsi="Times New Roman" w:eastAsia="方正仿宋_GBK" w:cs="Times New Roman"/>
          <w:bCs/>
          <w:sz w:val="30"/>
          <w:szCs w:val="30"/>
        </w:rPr>
        <w:t>表6  露天煤矿原煤生产人员效率</w:t>
      </w:r>
    </w:p>
    <w:tbl>
      <w:tblPr>
        <w:tblStyle w:val="8"/>
        <w:tblW w:w="0" w:type="auto"/>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61"/>
        <w:gridCol w:w="1182"/>
        <w:gridCol w:w="1182"/>
        <w:gridCol w:w="1182"/>
        <w:gridCol w:w="1182"/>
        <w:gridCol w:w="1182"/>
        <w:gridCol w:w="1183"/>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vMerge w:val="restart"/>
            <w:tcBorders>
              <w:top w:val="single" w:color="000000" w:sz="18" w:space="0"/>
            </w:tcBorders>
            <w:tcMar>
              <w:top w:w="15" w:type="dxa"/>
              <w:left w:w="108" w:type="dxa"/>
              <w:bottom w:w="0" w:type="dxa"/>
              <w:right w:w="108" w:type="dxa"/>
            </w:tcMar>
            <w:vAlign w:val="center"/>
          </w:tcPr>
          <w:p>
            <w:pPr>
              <w:spacing w:line="440" w:lineRule="exact"/>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剥采比</w:t>
            </w:r>
          </w:p>
          <w:p>
            <w:pPr>
              <w:spacing w:line="440" w:lineRule="exact"/>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（m</w:t>
            </w:r>
            <w:r>
              <w:rPr>
                <w:rFonts w:ascii="Times New Roman" w:hAnsi="Times New Roman" w:eastAsia="方正仿宋_GBK" w:cs="Times New Roman"/>
                <w:sz w:val="28"/>
                <w:szCs w:val="30"/>
                <w:vertAlign w:val="superscript"/>
              </w:rPr>
              <w:t>3</w:t>
            </w:r>
            <w:r>
              <w:rPr>
                <w:rFonts w:ascii="Times New Roman" w:hAnsi="Times New Roman" w:eastAsia="方正仿宋_GBK" w:cs="Times New Roman"/>
                <w:sz w:val="28"/>
                <w:szCs w:val="30"/>
              </w:rPr>
              <w:t>/t）</w:t>
            </w:r>
          </w:p>
        </w:tc>
        <w:tc>
          <w:tcPr>
            <w:tcW w:w="7093" w:type="dxa"/>
            <w:gridSpan w:val="6"/>
            <w:tcBorders>
              <w:top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原煤生产人员效率（t/工）</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vMerge w:val="continue"/>
            <w:vAlign w:val="center"/>
          </w:tcPr>
          <w:p>
            <w:pPr>
              <w:widowControl/>
              <w:jc w:val="center"/>
              <w:rPr>
                <w:rFonts w:ascii="Times New Roman" w:hAnsi="Times New Roman" w:eastAsia="方正仿宋_GBK" w:cs="Times New Roman"/>
                <w:sz w:val="28"/>
                <w:szCs w:val="30"/>
              </w:rPr>
            </w:pPr>
          </w:p>
        </w:tc>
        <w:tc>
          <w:tcPr>
            <w:tcW w:w="2364" w:type="dxa"/>
            <w:gridSpan w:val="2"/>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连续工艺</w:t>
            </w:r>
          </w:p>
        </w:tc>
        <w:tc>
          <w:tcPr>
            <w:tcW w:w="2364" w:type="dxa"/>
            <w:gridSpan w:val="2"/>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半连续工艺</w:t>
            </w:r>
          </w:p>
        </w:tc>
        <w:tc>
          <w:tcPr>
            <w:tcW w:w="2365" w:type="dxa"/>
            <w:gridSpan w:val="2"/>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间断工艺</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vMerge w:val="continue"/>
            <w:vAlign w:val="center"/>
          </w:tcPr>
          <w:p>
            <w:pPr>
              <w:widowControl/>
              <w:jc w:val="center"/>
              <w:rPr>
                <w:rFonts w:ascii="Times New Roman" w:hAnsi="Times New Roman" w:eastAsia="方正仿宋_GBK" w:cs="Times New Roman"/>
                <w:sz w:val="28"/>
                <w:szCs w:val="30"/>
              </w:rPr>
            </w:pP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特级</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一级</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特级</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一级</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特级</w:t>
            </w:r>
          </w:p>
        </w:tc>
        <w:tc>
          <w:tcPr>
            <w:tcW w:w="1183"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一级</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＜2</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＞45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＞35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＞35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＞25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＞25</w:t>
            </w:r>
          </w:p>
        </w:tc>
        <w:tc>
          <w:tcPr>
            <w:tcW w:w="1183" w:type="dxa"/>
            <w:tcMar>
              <w:top w:w="15" w:type="dxa"/>
              <w:left w:w="108" w:type="dxa"/>
              <w:bottom w:w="0" w:type="dxa"/>
              <w:right w:w="108" w:type="dxa"/>
            </w:tcMar>
            <w:vAlign w:val="center"/>
          </w:tcPr>
          <w:p>
            <w:pPr>
              <w:jc w:val="center"/>
              <w:rPr>
                <w:rFonts w:ascii="Times New Roman" w:hAnsi="Times New Roman" w:eastAsia="方正仿宋_GBK" w:cs="Times New Roman"/>
                <w:sz w:val="28"/>
                <w:szCs w:val="30"/>
              </w:rPr>
            </w:pPr>
            <w:r>
              <w:rPr>
                <w:rFonts w:ascii="Times New Roman" w:hAnsi="Times New Roman" w:eastAsia="方正仿宋_GBK" w:cs="Times New Roman"/>
                <w:sz w:val="28"/>
                <w:szCs w:val="30"/>
              </w:rPr>
              <w:t>＞15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w:t>
            </w:r>
            <w:r>
              <w:rPr>
                <w:rFonts w:hint="eastAsia" w:ascii="Times New Roman" w:hAnsi="Times New Roman" w:eastAsia="方正仿宋_GBK" w:cs="Times New Roman"/>
                <w:bCs/>
                <w:sz w:val="28"/>
                <w:szCs w:val="30"/>
              </w:rPr>
              <w:t>（含）</w:t>
            </w:r>
            <w:r>
              <w:rPr>
                <w:rFonts w:ascii="Times New Roman" w:hAnsi="Times New Roman" w:eastAsia="方正仿宋_GBK" w:cs="Times New Roman"/>
                <w:bCs/>
                <w:sz w:val="28"/>
                <w:szCs w:val="30"/>
              </w:rPr>
              <w:t>~4</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45~35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35~25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35~25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3"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15~10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4</w:t>
            </w:r>
            <w:r>
              <w:rPr>
                <w:rFonts w:hint="eastAsia" w:ascii="Times New Roman" w:hAnsi="Times New Roman" w:eastAsia="方正仿宋_GBK" w:cs="Times New Roman"/>
                <w:bCs/>
                <w:sz w:val="28"/>
                <w:szCs w:val="30"/>
              </w:rPr>
              <w:t>（含）</w:t>
            </w:r>
            <w:r>
              <w:rPr>
                <w:rFonts w:ascii="Times New Roman" w:hAnsi="Times New Roman" w:eastAsia="方正仿宋_GBK" w:cs="Times New Roman"/>
                <w:bCs/>
                <w:sz w:val="28"/>
                <w:szCs w:val="30"/>
              </w:rPr>
              <w:t>~6</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35~25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20~15</w:t>
            </w:r>
          </w:p>
        </w:tc>
        <w:tc>
          <w:tcPr>
            <w:tcW w:w="1182"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3" w:type="dxa"/>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13~8</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61"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6</w:t>
            </w:r>
            <w:r>
              <w:rPr>
                <w:rFonts w:hint="eastAsia" w:ascii="Times New Roman" w:hAnsi="Times New Roman" w:eastAsia="方正仿宋_GBK" w:cs="Times New Roman"/>
                <w:bCs/>
                <w:sz w:val="28"/>
                <w:szCs w:val="30"/>
              </w:rPr>
              <w:t>（含）</w:t>
            </w:r>
            <w:r>
              <w:rPr>
                <w:rFonts w:ascii="Times New Roman" w:hAnsi="Times New Roman" w:eastAsia="方正仿宋_GBK" w:cs="Times New Roman"/>
                <w:bCs/>
                <w:sz w:val="28"/>
                <w:szCs w:val="30"/>
              </w:rPr>
              <w:t>~8</w:t>
            </w:r>
          </w:p>
        </w:tc>
        <w:tc>
          <w:tcPr>
            <w:tcW w:w="1182"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25~20</w:t>
            </w:r>
          </w:p>
        </w:tc>
        <w:tc>
          <w:tcPr>
            <w:tcW w:w="1182"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20~15</w:t>
            </w:r>
          </w:p>
        </w:tc>
        <w:tc>
          <w:tcPr>
            <w:tcW w:w="1182"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20~15</w:t>
            </w:r>
          </w:p>
        </w:tc>
        <w:tc>
          <w:tcPr>
            <w:tcW w:w="1182"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15~13</w:t>
            </w:r>
          </w:p>
        </w:tc>
        <w:tc>
          <w:tcPr>
            <w:tcW w:w="1182"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20~18</w:t>
            </w:r>
          </w:p>
        </w:tc>
        <w:tc>
          <w:tcPr>
            <w:tcW w:w="1183" w:type="dxa"/>
            <w:tcBorders>
              <w:bottom w:val="single" w:color="000000" w:sz="18" w:space="0"/>
            </w:tcBorders>
            <w:tcMar>
              <w:top w:w="15" w:type="dxa"/>
              <w:left w:w="108" w:type="dxa"/>
              <w:bottom w:w="0" w:type="dxa"/>
              <w:right w:w="108" w:type="dxa"/>
            </w:tcMar>
            <w:vAlign w:val="center"/>
          </w:tcPr>
          <w:p>
            <w:pPr>
              <w:jc w:val="center"/>
              <w:rPr>
                <w:rFonts w:ascii="Times New Roman" w:hAnsi="Times New Roman" w:eastAsia="方正仿宋_GBK" w:cs="Times New Roman"/>
                <w:bCs/>
                <w:sz w:val="28"/>
                <w:szCs w:val="30"/>
              </w:rPr>
            </w:pPr>
            <w:r>
              <w:rPr>
                <w:rFonts w:ascii="Times New Roman" w:hAnsi="Times New Roman" w:eastAsia="方正仿宋_GBK" w:cs="Times New Roman"/>
                <w:bCs/>
                <w:sz w:val="28"/>
                <w:szCs w:val="30"/>
              </w:rPr>
              <w:t>10~6</w:t>
            </w:r>
          </w:p>
        </w:tc>
      </w:tr>
    </w:tbl>
    <w:p>
      <w:pPr>
        <w:ind w:firstLine="750" w:firstLineChars="25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注：原煤生产人员效率计算依据剥采比用插值法；对单一开采工艺系统不能满足技术要求或经济不合理，选择综合工艺开采的露天煤矿，可以采用不同工艺指标加权平均法计算；二级指标为一级指标乘0.8系数。</w:t>
      </w:r>
    </w:p>
    <w:p>
      <w:pPr>
        <w:ind w:firstLine="594" w:firstLineChars="198"/>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（七）经济效益</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1. 严格成本管理，保证规定投入，完成利润指标；</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2. 煤炭工业特级安全高效矿井（露天）职工人均收入，不低于行业平均水平</w:t>
      </w:r>
      <w:r>
        <w:rPr>
          <w:rFonts w:ascii="Times New Roman" w:hAnsi="Times New Roman" w:eastAsia="方正仿宋_GBK" w:cs="Times New Roman"/>
          <w:bCs/>
          <w:sz w:val="30"/>
          <w:szCs w:val="30"/>
        </w:rPr>
        <w:t>且不低于本省（区、市）煤矿平均水平；</w:t>
      </w:r>
      <w:r>
        <w:rPr>
          <w:rFonts w:ascii="Times New Roman" w:hAnsi="Times New Roman" w:eastAsia="方正仿宋_GBK" w:cs="Times New Roman"/>
          <w:sz w:val="30"/>
          <w:szCs w:val="30"/>
        </w:rPr>
        <w:t>煤炭工业一级安全高效矿井（露天）职工人均收入，不低于本省（区、市）煤矿平均水平；煤炭工业二级安全高效矿井（露天）职工人均收入，不低于本省（区、市）煤矿平均水平或比上年增加。</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（八）劳动定员管理</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煤矿建立并不断完善定员管理制度，科学合理岗位劳动定员，劳动组织优化，按核定能力组织生产。</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（九）采区回采率</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1. 井工煤矿采区回采率应符合表7要求。</w:t>
      </w:r>
    </w:p>
    <w:p>
      <w:pPr>
        <w:jc w:val="center"/>
        <w:rPr>
          <w:rFonts w:ascii="Times New Roman" w:hAnsi="Times New Roman" w:eastAsia="方正仿宋_GBK" w:cs="Times New Roman"/>
          <w:sz w:val="30"/>
          <w:szCs w:val="30"/>
        </w:rPr>
      </w:pPr>
      <w:r>
        <w:rPr>
          <w:rFonts w:ascii="Times New Roman" w:hAnsi="Times New Roman" w:eastAsia="方正仿宋_GBK" w:cs="Times New Roman"/>
          <w:bCs/>
          <w:sz w:val="30"/>
          <w:szCs w:val="30"/>
        </w:rPr>
        <w:t>表7  井工煤矿采区回采率</w:t>
      </w:r>
    </w:p>
    <w:tbl>
      <w:tblPr>
        <w:tblStyle w:val="8"/>
        <w:tblW w:w="7444" w:type="dxa"/>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772"/>
        <w:gridCol w:w="3672"/>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772" w:type="dxa"/>
            <w:tcBorders>
              <w:top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煤层厚度</w:t>
            </w:r>
          </w:p>
        </w:tc>
        <w:tc>
          <w:tcPr>
            <w:tcW w:w="3672" w:type="dxa"/>
            <w:tcBorders>
              <w:top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考核指标</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772"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1.3m</w:t>
            </w:r>
          </w:p>
        </w:tc>
        <w:tc>
          <w:tcPr>
            <w:tcW w:w="3672"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85%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772"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1.3</w:t>
            </w:r>
            <w:r>
              <w:rPr>
                <w:rFonts w:ascii="Times New Roman" w:hAnsi="Times New Roman" w:eastAsia="方正仿宋_GBK" w:cs="Times New Roman"/>
                <w:bCs/>
                <w:sz w:val="28"/>
                <w:szCs w:val="30"/>
              </w:rPr>
              <w:t>~</w:t>
            </w:r>
            <w:r>
              <w:rPr>
                <w:rFonts w:ascii="Times New Roman" w:hAnsi="Times New Roman" w:eastAsia="方正仿宋_GBK" w:cs="Times New Roman"/>
                <w:color w:val="000000"/>
                <w:kern w:val="0"/>
                <w:sz w:val="30"/>
                <w:szCs w:val="30"/>
              </w:rPr>
              <w:t>3.5m</w:t>
            </w:r>
          </w:p>
        </w:tc>
        <w:tc>
          <w:tcPr>
            <w:tcW w:w="3672"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80%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772" w:type="dxa"/>
            <w:tcBorders>
              <w:bottom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3.5m</w:t>
            </w:r>
          </w:p>
        </w:tc>
        <w:tc>
          <w:tcPr>
            <w:tcW w:w="3672" w:type="dxa"/>
            <w:tcBorders>
              <w:bottom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75%</w:t>
            </w:r>
          </w:p>
        </w:tc>
      </w:tr>
    </w:tbl>
    <w:p>
      <w:pPr>
        <w:spacing w:before="156" w:beforeLines="50"/>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露天煤矿采区回采率应符合表8要求。</w:t>
      </w:r>
    </w:p>
    <w:p>
      <w:pPr>
        <w:jc w:val="center"/>
        <w:rPr>
          <w:rFonts w:ascii="Times New Roman" w:hAnsi="Times New Roman" w:eastAsia="方正仿宋_GBK" w:cs="Times New Roman"/>
          <w:sz w:val="30"/>
          <w:szCs w:val="30"/>
        </w:rPr>
      </w:pPr>
      <w:r>
        <w:rPr>
          <w:rFonts w:ascii="Times New Roman" w:hAnsi="Times New Roman" w:eastAsia="方正仿宋_GBK" w:cs="Times New Roman"/>
          <w:bCs/>
          <w:sz w:val="30"/>
          <w:szCs w:val="30"/>
        </w:rPr>
        <w:t>表8  露天煤矿采区回采率</w:t>
      </w:r>
    </w:p>
    <w:tbl>
      <w:tblPr>
        <w:tblStyle w:val="8"/>
        <w:tblW w:w="7302" w:type="dxa"/>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617"/>
        <w:gridCol w:w="3685"/>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617" w:type="dxa"/>
            <w:tcBorders>
              <w:top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煤层厚度</w:t>
            </w:r>
          </w:p>
        </w:tc>
        <w:tc>
          <w:tcPr>
            <w:tcW w:w="3685" w:type="dxa"/>
            <w:tcBorders>
              <w:top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考核指标</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617"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1.3m</w:t>
            </w:r>
          </w:p>
        </w:tc>
        <w:tc>
          <w:tcPr>
            <w:tcW w:w="3685"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70%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617"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1.3</w:t>
            </w:r>
            <w:r>
              <w:rPr>
                <w:rFonts w:ascii="Times New Roman" w:hAnsi="Times New Roman" w:eastAsia="方正仿宋_GBK" w:cs="Times New Roman"/>
                <w:bCs/>
                <w:sz w:val="28"/>
                <w:szCs w:val="30"/>
              </w:rPr>
              <w:t>~</w:t>
            </w:r>
            <w:r>
              <w:rPr>
                <w:rFonts w:ascii="Times New Roman" w:hAnsi="Times New Roman" w:eastAsia="方正仿宋_GBK" w:cs="Times New Roman"/>
                <w:color w:val="000000"/>
                <w:kern w:val="0"/>
                <w:sz w:val="30"/>
                <w:szCs w:val="30"/>
              </w:rPr>
              <w:t>3.5m</w:t>
            </w:r>
          </w:p>
        </w:tc>
        <w:tc>
          <w:tcPr>
            <w:tcW w:w="3685"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80%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617"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ascii="Times New Roman" w:hAnsi="Times New Roman" w:eastAsia="方正仿宋_GBK" w:cs="Times New Roman"/>
                <w:color w:val="000000"/>
                <w:kern w:val="0"/>
                <w:sz w:val="30"/>
                <w:szCs w:val="30"/>
              </w:rPr>
              <w:t>3.5</w:t>
            </w:r>
            <w:r>
              <w:rPr>
                <w:rFonts w:hint="eastAsia" w:ascii="Times New Roman" w:hAnsi="Times New Roman" w:eastAsia="方正仿宋_GBK" w:cs="Times New Roman"/>
                <w:color w:val="000000"/>
                <w:kern w:val="0"/>
                <w:sz w:val="30"/>
                <w:szCs w:val="30"/>
              </w:rPr>
              <w:t>（含）</w:t>
            </w:r>
            <w:r>
              <w:rPr>
                <w:rFonts w:ascii="Times New Roman" w:hAnsi="Times New Roman" w:eastAsia="方正仿宋_GBK" w:cs="Times New Roman"/>
                <w:bCs/>
                <w:sz w:val="28"/>
                <w:szCs w:val="30"/>
              </w:rPr>
              <w:t>~</w:t>
            </w:r>
            <w:r>
              <w:rPr>
                <w:rFonts w:ascii="Times New Roman" w:hAnsi="Times New Roman" w:eastAsia="方正仿宋_GBK" w:cs="Times New Roman"/>
                <w:color w:val="000000"/>
                <w:kern w:val="0"/>
                <w:sz w:val="30"/>
                <w:szCs w:val="30"/>
              </w:rPr>
              <w:t>6.0m</w:t>
            </w:r>
          </w:p>
        </w:tc>
        <w:tc>
          <w:tcPr>
            <w:tcW w:w="3685" w:type="dxa"/>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85%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617" w:type="dxa"/>
            <w:tcBorders>
              <w:bottom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6.0m</w:t>
            </w:r>
          </w:p>
        </w:tc>
        <w:tc>
          <w:tcPr>
            <w:tcW w:w="3685" w:type="dxa"/>
            <w:tcBorders>
              <w:bottom w:val="single" w:color="000000" w:sz="18" w:space="0"/>
            </w:tcBorders>
            <w:shd w:val="clear" w:color="000000" w:fill="FFFFFF"/>
            <w:vAlign w:val="center"/>
          </w:tcPr>
          <w:p>
            <w:pPr>
              <w:widowControl/>
              <w:jc w:val="center"/>
              <w:rPr>
                <w:rFonts w:ascii="Times New Roman" w:hAnsi="Times New Roman" w:eastAsia="方正仿宋_GBK" w:cs="Times New Roman"/>
                <w:color w:val="000000"/>
                <w:kern w:val="0"/>
                <w:sz w:val="30"/>
                <w:szCs w:val="30"/>
              </w:rPr>
            </w:pPr>
            <w:r>
              <w:rPr>
                <w:rFonts w:hint="eastAsia" w:ascii="方正仿宋_GBK" w:hAnsi="Times New Roman" w:eastAsia="方正仿宋_GBK" w:cs="Times New Roman"/>
                <w:color w:val="000000"/>
                <w:kern w:val="0"/>
                <w:sz w:val="30"/>
                <w:szCs w:val="30"/>
              </w:rPr>
              <w:t>≥</w:t>
            </w:r>
            <w:r>
              <w:rPr>
                <w:rFonts w:ascii="Times New Roman" w:hAnsi="Times New Roman" w:eastAsia="方正仿宋_GBK" w:cs="Times New Roman"/>
                <w:color w:val="000000"/>
                <w:kern w:val="0"/>
                <w:sz w:val="30"/>
                <w:szCs w:val="30"/>
              </w:rPr>
              <w:t>90%</w:t>
            </w:r>
          </w:p>
        </w:tc>
      </w:tr>
    </w:tbl>
    <w:p>
      <w:pPr>
        <w:spacing w:before="156" w:beforeLines="50"/>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（十）生态文明</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1. 推广应用绿色开采技术工艺，</w:t>
      </w:r>
      <w:r>
        <w:rPr>
          <w:rFonts w:ascii="Times New Roman" w:hAnsi="Times New Roman" w:eastAsia="方正仿宋_GBK" w:cs="Times New Roman"/>
          <w:bCs/>
          <w:sz w:val="30"/>
          <w:szCs w:val="30"/>
        </w:rPr>
        <w:t>降低采煤土地塌陷和地下水资源损失，</w:t>
      </w:r>
      <w:r>
        <w:rPr>
          <w:rFonts w:ascii="Times New Roman" w:hAnsi="Times New Roman" w:eastAsia="方正仿宋_GBK" w:cs="Times New Roman"/>
          <w:sz w:val="30"/>
          <w:szCs w:val="30"/>
        </w:rPr>
        <w:t>提高原煤入选率和</w:t>
      </w:r>
      <w:r>
        <w:rPr>
          <w:rFonts w:ascii="Times New Roman" w:hAnsi="Times New Roman" w:eastAsia="方正仿宋_GBK" w:cs="Times New Roman"/>
          <w:bCs/>
          <w:sz w:val="30"/>
          <w:szCs w:val="30"/>
        </w:rPr>
        <w:t>瓦斯</w:t>
      </w:r>
      <w:r>
        <w:rPr>
          <w:rFonts w:ascii="Times New Roman" w:hAnsi="Times New Roman" w:eastAsia="方正仿宋_GBK" w:cs="Times New Roman"/>
          <w:b/>
          <w:bCs/>
          <w:sz w:val="30"/>
          <w:szCs w:val="30"/>
        </w:rPr>
        <w:t>、</w:t>
      </w:r>
      <w:r>
        <w:rPr>
          <w:rFonts w:ascii="Times New Roman" w:hAnsi="Times New Roman" w:eastAsia="方正仿宋_GBK" w:cs="Times New Roman"/>
          <w:bCs/>
          <w:sz w:val="30"/>
          <w:szCs w:val="30"/>
        </w:rPr>
        <w:t>煤矸石及矿井水等利用率；</w:t>
      </w:r>
    </w:p>
    <w:p>
      <w:pPr>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2. 加强职工作业环境保护，推广应用防尘降尘等作业环境治理新技术、新工艺、新装备，定期开展职工健康检查，降低职业病发病率；</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Cs/>
          <w:sz w:val="30"/>
          <w:szCs w:val="30"/>
        </w:rPr>
        <w:t>3. 严格遵守国家环境保护法律法规和有关政策，持有合法有效的排污许可证明；</w:t>
      </w:r>
    </w:p>
    <w:p>
      <w:pPr>
        <w:ind w:firstLine="600" w:firstLineChars="200"/>
        <w:rPr>
          <w:rFonts w:ascii="Times New Roman" w:hAnsi="Times New Roman" w:eastAsia="方正仿宋_GBK" w:cs="Times New Roman"/>
          <w:b/>
          <w:bCs/>
          <w:sz w:val="30"/>
          <w:szCs w:val="30"/>
        </w:rPr>
      </w:pPr>
      <w:r>
        <w:rPr>
          <w:rFonts w:ascii="Times New Roman" w:hAnsi="Times New Roman" w:eastAsia="方正仿宋_GBK" w:cs="Times New Roman"/>
          <w:bCs/>
          <w:sz w:val="30"/>
          <w:szCs w:val="30"/>
        </w:rPr>
        <w:t>4. 坚持“边开采，边复垦”，环境恢复治理好（高于矿产资源规划确定的本区域平均水平），绿化覆盖率达到可绿化区域面积的60%以上，矿区环境优美。</w:t>
      </w:r>
    </w:p>
    <w:p>
      <w:pPr>
        <w:spacing w:before="156" w:beforeLines="50"/>
        <w:jc w:val="center"/>
        <w:rPr>
          <w:rFonts w:ascii="方正黑体_GBK" w:hAnsi="Times New Roman" w:eastAsia="方正黑体_GBK" w:cs="Times New Roman"/>
          <w:bCs/>
          <w:sz w:val="30"/>
          <w:szCs w:val="30"/>
        </w:rPr>
      </w:pPr>
      <w:r>
        <w:rPr>
          <w:rFonts w:hint="eastAsia" w:ascii="方正黑体_GBK" w:hAnsi="Times New Roman" w:eastAsia="方正黑体_GBK" w:cs="Times New Roman"/>
          <w:bCs/>
          <w:sz w:val="30"/>
          <w:szCs w:val="30"/>
        </w:rPr>
        <w:t>第三章  申报、评审与发布程序</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第六条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煤炭工业安全高效矿井（露天）每两年评审一次。评审时，以上年度安全生产情况和技术经济指标为依据。</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第七条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符合条件的煤矿，按隶属关系向所在省（区、市）安全高效矿井主管部门（协会）、中央企业申报。初审合格后，按规定向中国煤炭工业协会申报。</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第八条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中国煤炭工业协会组织专家组采取书面审核与现场验收相结合的方式，对申报煤矿进行综合评审。</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第九条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各煤矿申报材料必须如实填报，如发现有弄虚作假情况，取消参评资格。</w:t>
      </w:r>
    </w:p>
    <w:p>
      <w:pPr>
        <w:wordWrap w:val="0"/>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 xml:space="preserve">第十条  </w:t>
      </w:r>
      <w:r>
        <w:rPr>
          <w:rFonts w:ascii="Times New Roman" w:hAnsi="Times New Roman" w:eastAsia="方正仿宋_GBK" w:cs="Times New Roman"/>
          <w:bCs/>
          <w:spacing w:val="-2"/>
          <w:sz w:val="30"/>
          <w:szCs w:val="30"/>
        </w:rPr>
        <w:t>评审合格的煤矿，在国家煤炭工业网（www.coalchina.org.cn）予以公示。公示期10天。</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第十一条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评审、验收、公示期间，申报煤矿发生较大及以上</w:t>
      </w:r>
      <w:r>
        <w:rPr>
          <w:rFonts w:ascii="Times New Roman" w:hAnsi="Times New Roman" w:eastAsia="方正仿宋_GBK" w:cs="Times New Roman"/>
          <w:sz w:val="30"/>
          <w:szCs w:val="30"/>
        </w:rPr>
        <w:t>安全生产</w:t>
      </w:r>
      <w:r>
        <w:rPr>
          <w:rFonts w:ascii="Times New Roman" w:hAnsi="Times New Roman" w:eastAsia="方正仿宋_GBK" w:cs="Times New Roman"/>
          <w:bCs/>
          <w:sz w:val="30"/>
          <w:szCs w:val="30"/>
        </w:rPr>
        <w:t>事故，取消资格。</w:t>
      </w:r>
    </w:p>
    <w:p>
      <w:pPr>
        <w:ind w:firstLine="588" w:firstLineChars="196"/>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第十二条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中国煤炭工业协会发布评审结果，对获得“煤炭工业安全高效矿井（露天）”称号的煤矿进行表彰。</w:t>
      </w:r>
    </w:p>
    <w:p>
      <w:pPr>
        <w:spacing w:before="156" w:beforeLines="50"/>
        <w:jc w:val="center"/>
        <w:rPr>
          <w:rFonts w:ascii="方正黑体_GBK" w:hAnsi="Times New Roman" w:eastAsia="方正黑体_GBK" w:cs="Times New Roman"/>
          <w:bCs/>
          <w:sz w:val="30"/>
          <w:szCs w:val="30"/>
        </w:rPr>
      </w:pPr>
      <w:r>
        <w:rPr>
          <w:rFonts w:hint="eastAsia" w:ascii="方正黑体_GBK" w:hAnsi="Times New Roman" w:eastAsia="方正黑体_GBK" w:cs="Times New Roman"/>
          <w:bCs/>
          <w:sz w:val="30"/>
          <w:szCs w:val="30"/>
        </w:rPr>
        <w:t>第四章  附  则</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第十三条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各有关省（区、市）主管部门（协会）、煤炭生产企业应制定煤炭工业安全高效矿井（露天）发展规划及实施细则，建立激励约束机制。煤炭生产企业应对获得“煤炭工业安全高效矿井（露天）”称号的单位和有关人员进行表彰奖励。</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第十四条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本《标准及评审办法》由中国煤炭工业协会负责解释。</w:t>
      </w:r>
    </w:p>
    <w:p>
      <w:pPr>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第十五条</w:t>
      </w:r>
      <w:r>
        <w:rPr>
          <w:rFonts w:hint="eastAsia" w:ascii="Times New Roman" w:hAnsi="Times New Roman" w:eastAsia="方正仿宋_GBK" w:cs="Times New Roman"/>
          <w:b/>
          <w:bCs/>
          <w:sz w:val="30"/>
          <w:szCs w:val="30"/>
        </w:rPr>
        <w:t xml:space="preserve"> </w:t>
      </w:r>
      <w:r>
        <w:rPr>
          <w:rFonts w:ascii="Times New Roman" w:hAnsi="Times New Roman" w:eastAsia="方正仿宋_GBK" w:cs="Times New Roman"/>
          <w:b/>
          <w:bCs/>
          <w:sz w:val="30"/>
          <w:szCs w:val="30"/>
        </w:rPr>
        <w:t xml:space="preserve"> </w:t>
      </w:r>
      <w:r>
        <w:rPr>
          <w:rFonts w:ascii="Times New Roman" w:hAnsi="Times New Roman" w:eastAsia="方正仿宋_GBK" w:cs="Times New Roman"/>
          <w:bCs/>
          <w:sz w:val="30"/>
          <w:szCs w:val="30"/>
        </w:rPr>
        <w:t>本《标准及评审办法》自发布之日起施行。</w:t>
      </w:r>
    </w:p>
    <w:p>
      <w:pPr>
        <w:pStyle w:val="3"/>
        <w:rPr>
          <w:rFonts w:ascii="Times New Roman" w:hAnsi="Times New Roman" w:eastAsia="方正仿宋_GBK" w:cs="Times New Roman"/>
          <w:sz w:val="30"/>
          <w:szCs w:val="30"/>
        </w:rPr>
      </w:pPr>
    </w:p>
    <w:sectPr>
      <w:pgSz w:w="11906" w:h="16838"/>
      <w:pgMar w:top="1440" w:right="155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C1"/>
    <w:rsid w:val="00004D65"/>
    <w:rsid w:val="000108B1"/>
    <w:rsid w:val="00012C8D"/>
    <w:rsid w:val="00031360"/>
    <w:rsid w:val="0005012E"/>
    <w:rsid w:val="00055EC3"/>
    <w:rsid w:val="0006057F"/>
    <w:rsid w:val="00084FC7"/>
    <w:rsid w:val="0009068F"/>
    <w:rsid w:val="000A1D5A"/>
    <w:rsid w:val="000A78AB"/>
    <w:rsid w:val="000B34F2"/>
    <w:rsid w:val="000D53FA"/>
    <w:rsid w:val="000D5BB4"/>
    <w:rsid w:val="000D60F3"/>
    <w:rsid w:val="000F6710"/>
    <w:rsid w:val="00104591"/>
    <w:rsid w:val="00105379"/>
    <w:rsid w:val="00134B0D"/>
    <w:rsid w:val="001529D4"/>
    <w:rsid w:val="00171BB5"/>
    <w:rsid w:val="001A1743"/>
    <w:rsid w:val="001A6FE3"/>
    <w:rsid w:val="001A753F"/>
    <w:rsid w:val="001B6E06"/>
    <w:rsid w:val="001D6763"/>
    <w:rsid w:val="001F3461"/>
    <w:rsid w:val="001F5EC2"/>
    <w:rsid w:val="002107E6"/>
    <w:rsid w:val="0023094A"/>
    <w:rsid w:val="00233564"/>
    <w:rsid w:val="00242EBE"/>
    <w:rsid w:val="00247EA1"/>
    <w:rsid w:val="00263770"/>
    <w:rsid w:val="002979F9"/>
    <w:rsid w:val="002B4361"/>
    <w:rsid w:val="002B7BCF"/>
    <w:rsid w:val="002D0A61"/>
    <w:rsid w:val="002D52D6"/>
    <w:rsid w:val="002D63EB"/>
    <w:rsid w:val="002E283C"/>
    <w:rsid w:val="00300AA6"/>
    <w:rsid w:val="00313728"/>
    <w:rsid w:val="00326C44"/>
    <w:rsid w:val="00330461"/>
    <w:rsid w:val="0033719C"/>
    <w:rsid w:val="003461B4"/>
    <w:rsid w:val="003463F2"/>
    <w:rsid w:val="00353D02"/>
    <w:rsid w:val="00365228"/>
    <w:rsid w:val="003676FF"/>
    <w:rsid w:val="00375DBC"/>
    <w:rsid w:val="003A1F72"/>
    <w:rsid w:val="003B1D27"/>
    <w:rsid w:val="003C4B70"/>
    <w:rsid w:val="003E0D24"/>
    <w:rsid w:val="003F0EA6"/>
    <w:rsid w:val="00413DD0"/>
    <w:rsid w:val="00420D45"/>
    <w:rsid w:val="00433D1B"/>
    <w:rsid w:val="00434944"/>
    <w:rsid w:val="0045603F"/>
    <w:rsid w:val="0046513E"/>
    <w:rsid w:val="00472FB5"/>
    <w:rsid w:val="00482650"/>
    <w:rsid w:val="0048608B"/>
    <w:rsid w:val="004928E7"/>
    <w:rsid w:val="00493064"/>
    <w:rsid w:val="004A0109"/>
    <w:rsid w:val="004B749F"/>
    <w:rsid w:val="004D65CB"/>
    <w:rsid w:val="004D7188"/>
    <w:rsid w:val="004F6E91"/>
    <w:rsid w:val="00500344"/>
    <w:rsid w:val="00501F73"/>
    <w:rsid w:val="0051067A"/>
    <w:rsid w:val="00525047"/>
    <w:rsid w:val="00530FB2"/>
    <w:rsid w:val="005405EB"/>
    <w:rsid w:val="005411C9"/>
    <w:rsid w:val="005A0BFA"/>
    <w:rsid w:val="005A63A0"/>
    <w:rsid w:val="005B19BC"/>
    <w:rsid w:val="005C0EDD"/>
    <w:rsid w:val="005C361F"/>
    <w:rsid w:val="005E362C"/>
    <w:rsid w:val="005E77C1"/>
    <w:rsid w:val="005F0CB7"/>
    <w:rsid w:val="005F24F9"/>
    <w:rsid w:val="005F5642"/>
    <w:rsid w:val="00606A04"/>
    <w:rsid w:val="00616A9E"/>
    <w:rsid w:val="00630406"/>
    <w:rsid w:val="00635920"/>
    <w:rsid w:val="00644035"/>
    <w:rsid w:val="006452C0"/>
    <w:rsid w:val="00650DBE"/>
    <w:rsid w:val="006512E0"/>
    <w:rsid w:val="0065185C"/>
    <w:rsid w:val="006519AC"/>
    <w:rsid w:val="00661BA7"/>
    <w:rsid w:val="00664B6A"/>
    <w:rsid w:val="006659F0"/>
    <w:rsid w:val="00671828"/>
    <w:rsid w:val="00696331"/>
    <w:rsid w:val="006B7E4B"/>
    <w:rsid w:val="006D3A8B"/>
    <w:rsid w:val="006E124D"/>
    <w:rsid w:val="006E7195"/>
    <w:rsid w:val="00710E1C"/>
    <w:rsid w:val="0071607F"/>
    <w:rsid w:val="00753018"/>
    <w:rsid w:val="0075484B"/>
    <w:rsid w:val="00766AC4"/>
    <w:rsid w:val="00794167"/>
    <w:rsid w:val="007A4DB5"/>
    <w:rsid w:val="007B2129"/>
    <w:rsid w:val="007D129B"/>
    <w:rsid w:val="007D658E"/>
    <w:rsid w:val="007D7682"/>
    <w:rsid w:val="0080166D"/>
    <w:rsid w:val="00801D51"/>
    <w:rsid w:val="00803789"/>
    <w:rsid w:val="00814794"/>
    <w:rsid w:val="0083718B"/>
    <w:rsid w:val="0084267E"/>
    <w:rsid w:val="00844D7D"/>
    <w:rsid w:val="0085786D"/>
    <w:rsid w:val="0087209D"/>
    <w:rsid w:val="00883102"/>
    <w:rsid w:val="008965C1"/>
    <w:rsid w:val="008A665F"/>
    <w:rsid w:val="008B6934"/>
    <w:rsid w:val="008C2176"/>
    <w:rsid w:val="008C62D3"/>
    <w:rsid w:val="008E2150"/>
    <w:rsid w:val="008E6408"/>
    <w:rsid w:val="0090277A"/>
    <w:rsid w:val="0091354C"/>
    <w:rsid w:val="00936FC4"/>
    <w:rsid w:val="0094427A"/>
    <w:rsid w:val="00946A7A"/>
    <w:rsid w:val="009756BF"/>
    <w:rsid w:val="00985247"/>
    <w:rsid w:val="009A04EC"/>
    <w:rsid w:val="009F5A3F"/>
    <w:rsid w:val="00A12E43"/>
    <w:rsid w:val="00A5077B"/>
    <w:rsid w:val="00A76120"/>
    <w:rsid w:val="00A82B41"/>
    <w:rsid w:val="00A91B28"/>
    <w:rsid w:val="00A928FC"/>
    <w:rsid w:val="00A93BE7"/>
    <w:rsid w:val="00A96352"/>
    <w:rsid w:val="00AA5F59"/>
    <w:rsid w:val="00AA7203"/>
    <w:rsid w:val="00AC617A"/>
    <w:rsid w:val="00AD3F65"/>
    <w:rsid w:val="00B10678"/>
    <w:rsid w:val="00B26945"/>
    <w:rsid w:val="00B27ED7"/>
    <w:rsid w:val="00B30F7E"/>
    <w:rsid w:val="00B32041"/>
    <w:rsid w:val="00B3693C"/>
    <w:rsid w:val="00B46ACA"/>
    <w:rsid w:val="00B474C1"/>
    <w:rsid w:val="00B47D47"/>
    <w:rsid w:val="00B50E44"/>
    <w:rsid w:val="00B54A93"/>
    <w:rsid w:val="00B57DB6"/>
    <w:rsid w:val="00BE7586"/>
    <w:rsid w:val="00C00905"/>
    <w:rsid w:val="00C26717"/>
    <w:rsid w:val="00C74E82"/>
    <w:rsid w:val="00C75A53"/>
    <w:rsid w:val="00C82D26"/>
    <w:rsid w:val="00CC5267"/>
    <w:rsid w:val="00CD434A"/>
    <w:rsid w:val="00CD45D7"/>
    <w:rsid w:val="00CF6042"/>
    <w:rsid w:val="00CF71B0"/>
    <w:rsid w:val="00D14118"/>
    <w:rsid w:val="00D3440C"/>
    <w:rsid w:val="00D454A4"/>
    <w:rsid w:val="00D509AF"/>
    <w:rsid w:val="00D668AA"/>
    <w:rsid w:val="00D73677"/>
    <w:rsid w:val="00DB510E"/>
    <w:rsid w:val="00DB6F73"/>
    <w:rsid w:val="00DF0F67"/>
    <w:rsid w:val="00DF28D7"/>
    <w:rsid w:val="00DF4704"/>
    <w:rsid w:val="00E105E5"/>
    <w:rsid w:val="00E4233D"/>
    <w:rsid w:val="00E52FBC"/>
    <w:rsid w:val="00E52FC8"/>
    <w:rsid w:val="00E566DE"/>
    <w:rsid w:val="00E72055"/>
    <w:rsid w:val="00E83778"/>
    <w:rsid w:val="00E92039"/>
    <w:rsid w:val="00E9710D"/>
    <w:rsid w:val="00ED7457"/>
    <w:rsid w:val="00EF3C2F"/>
    <w:rsid w:val="00F077AE"/>
    <w:rsid w:val="00F13D01"/>
    <w:rsid w:val="00F212D8"/>
    <w:rsid w:val="00F33056"/>
    <w:rsid w:val="00F63D52"/>
    <w:rsid w:val="00F67644"/>
    <w:rsid w:val="00F84203"/>
    <w:rsid w:val="00F855E4"/>
    <w:rsid w:val="00F95A4A"/>
    <w:rsid w:val="00FE269E"/>
    <w:rsid w:val="00FF608B"/>
    <w:rsid w:val="3AFC26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日期 字符"/>
    <w:basedOn w:val="9"/>
    <w:link w:val="4"/>
    <w:semiHidden/>
    <w:qFormat/>
    <w:uiPriority w:val="99"/>
  </w:style>
  <w:style w:type="character" w:customStyle="1" w:styleId="13">
    <w:name w:val="标题 1 字符"/>
    <w:basedOn w:val="9"/>
    <w:link w:val="2"/>
    <w:qFormat/>
    <w:uiPriority w:val="9"/>
    <w:rPr>
      <w:b/>
      <w:bCs/>
      <w:kern w:val="44"/>
      <w:sz w:val="44"/>
      <w:szCs w:val="44"/>
    </w:rPr>
  </w:style>
  <w:style w:type="character" w:customStyle="1" w:styleId="14">
    <w:name w:val="标题 2 字符"/>
    <w:basedOn w:val="9"/>
    <w:link w:val="3"/>
    <w:qFormat/>
    <w:uiPriority w:val="99"/>
    <w:rPr>
      <w:rFonts w:asciiTheme="majorHAnsi" w:hAnsiTheme="majorHAnsi" w:eastAsiaTheme="majorEastAsia" w:cstheme="majorBidi"/>
      <w:b/>
      <w:bCs/>
      <w:sz w:val="32"/>
      <w:szCs w:val="32"/>
    </w:rPr>
  </w:style>
  <w:style w:type="paragraph" w:styleId="15">
    <w:name w:val="List Paragraph"/>
    <w:basedOn w:val="1"/>
    <w:qFormat/>
    <w:uiPriority w:val="34"/>
    <w:pPr>
      <w:ind w:firstLine="420" w:firstLineChars="200"/>
    </w:pPr>
  </w:style>
  <w:style w:type="character" w:customStyle="1" w:styleId="16">
    <w:name w:val="批注框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503</Words>
  <Characters>2871</Characters>
  <Lines>23</Lines>
  <Paragraphs>6</Paragraphs>
  <TotalTime>1019</TotalTime>
  <ScaleCrop>false</ScaleCrop>
  <LinksUpToDate>false</LinksUpToDate>
  <CharactersWithSpaces>3368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2018-01-05T01:04:00Z</dcterms:created>
  <dc:creator>ysy</dc:creator>
  <cp:lastModifiedBy>TXY</cp:lastModifiedBy>
  <cp:lastPrinted>2020-03-05T06:51:00Z</cp:lastPrinted>
  <dcterms:modified xsi:type="dcterms:W3CDTF">2020-03-11T02:29:01Z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