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both"/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bookmarkStart w:id="3" w:name="_GoBack"/>
      <w:bookmarkStart w:id="0" w:name="bookmark11"/>
      <w:bookmarkStart w:id="1" w:name="bookmark12"/>
      <w:bookmarkStart w:id="2" w:name="bookmark13"/>
      <w:r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附件1</w:t>
      </w:r>
    </w:p>
    <w:bookmarkEnd w:id="3"/>
    <w:p>
      <w:pPr>
        <w:pStyle w:val="6"/>
        <w:keepNext/>
        <w:keepLines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both"/>
        <w:rPr>
          <w:rFonts w:hint="eastAsia" w:ascii="Times New Roman" w:hAnsi="Times New Roman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6"/>
        <w:keepNext/>
        <w:keepLines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center"/>
        <w:rPr>
          <w:rFonts w:hint="eastAsia" w:ascii="Times New Roman" w:hAnsi="Times New Roman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内蒙古自治区煤矿智能化建设</w:t>
      </w:r>
      <w:r>
        <w:rPr>
          <w:rFonts w:hint="eastAsia" w:ascii="Times New Roman" w:hAnsi="Times New Roman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br w:type="textWrapping"/>
      </w:r>
      <w:r>
        <w:rPr>
          <w:rFonts w:hint="eastAsia" w:ascii="Times New Roman" w:hAnsi="Times New Roman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验收办法（试行）</w:t>
      </w:r>
      <w:bookmarkEnd w:id="0"/>
      <w:bookmarkEnd w:id="1"/>
      <w:bookmarkEnd w:id="2"/>
    </w:p>
    <w:p>
      <w:pPr>
        <w:pStyle w:val="6"/>
        <w:keepNext/>
        <w:keepLines/>
        <w:widowControl w:val="0"/>
        <w:shd w:val="clear" w:color="auto" w:fill="auto"/>
        <w:bidi w:val="0"/>
        <w:spacing w:before="0" w:after="0" w:line="560" w:lineRule="exact"/>
        <w:ind w:left="0" w:right="0" w:firstLine="0"/>
        <w:jc w:val="center"/>
        <w:rPr>
          <w:rFonts w:hint="eastAsia" w:ascii="Times New Roman" w:hAnsi="Times New Roman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</w:pP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第一条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为认真贯彻落实国家发展改革委等八部门《关于加快煤矿智能化发展的指导意见》（发改能源〔2020〕283号）和《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内蒙古自治区推进煤矿智能化建设三年行动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实施方案》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eastAsia="zh-CN" w:bidi="ar-SA"/>
        </w:rPr>
        <w:t>（内能安监字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eastAsia="zh-CN" w:bidi="ar-SA"/>
        </w:rPr>
        <w:t>〔2021〕191号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eastAsia="zh-CN" w:bidi="ar-SA"/>
        </w:rPr>
        <w:t>）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，加快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推进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煤矿智能化建设，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为智慧矿山建设奠定基础，促进煤炭产业高质量发展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，制定本验收办法。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</w:pP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第二条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本验收办法适用于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全区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所有合法生产、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建设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煤矿。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/>
          <w:spacing w:val="-5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 xml:space="preserve">第三条 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开展煤矿智能化建设，</w:t>
      </w:r>
      <w:r>
        <w:rPr>
          <w:rFonts w:hint="eastAsia" w:ascii="Times New Roman" w:hAnsi="Times New Roman"/>
          <w:spacing w:val="-5"/>
          <w:lang w:val="en-US" w:eastAsia="zh-CN"/>
        </w:rPr>
        <w:t>坚持</w:t>
      </w:r>
      <w:r>
        <w:rPr>
          <w:rFonts w:ascii="Times New Roman" w:hAnsi="Times New Roman"/>
          <w:spacing w:val="-5"/>
        </w:rPr>
        <w:t>示范引领、</w:t>
      </w:r>
      <w:r>
        <w:rPr>
          <w:rFonts w:hint="eastAsia" w:ascii="Times New Roman" w:hAnsi="Times New Roman"/>
          <w:spacing w:val="-5"/>
          <w:lang w:val="en-US" w:eastAsia="zh-CN"/>
        </w:rPr>
        <w:t>分步建设、</w:t>
      </w:r>
      <w:r>
        <w:rPr>
          <w:rFonts w:ascii="Times New Roman" w:hAnsi="Times New Roman"/>
          <w:spacing w:val="-5"/>
        </w:rPr>
        <w:t>统筹推进，</w:t>
      </w:r>
      <w:r>
        <w:rPr>
          <w:rFonts w:hint="eastAsia" w:ascii="Times New Roman" w:hAnsi="Times New Roman"/>
          <w:spacing w:val="-5"/>
          <w:lang w:val="en-US" w:eastAsia="zh-CN"/>
        </w:rPr>
        <w:t>以智能平台建设为先导，以网络基础设施建设为支撑，加快提升煤矿各生产系统智能化作业能力，提高建设速度和质量，通过</w:t>
      </w:r>
      <w:r>
        <w:rPr>
          <w:rFonts w:ascii="Times New Roman" w:hAnsi="Times New Roman"/>
          <w:spacing w:val="-10"/>
        </w:rPr>
        <w:t>减人</w:t>
      </w:r>
      <w:r>
        <w:rPr>
          <w:rFonts w:hint="eastAsia" w:ascii="Times New Roman" w:hAnsi="Times New Roman"/>
          <w:spacing w:val="-10"/>
          <w:lang w:eastAsia="zh-CN"/>
        </w:rPr>
        <w:t>、</w:t>
      </w:r>
      <w:r>
        <w:rPr>
          <w:rFonts w:hint="eastAsia" w:ascii="Times New Roman" w:hAnsi="Times New Roman"/>
          <w:spacing w:val="-10"/>
          <w:lang w:val="en-US" w:eastAsia="zh-CN"/>
        </w:rPr>
        <w:t>降耗、提效，</w:t>
      </w:r>
      <w:r>
        <w:rPr>
          <w:rFonts w:hint="eastAsia" w:ascii="Times New Roman" w:hAnsi="Times New Roman"/>
          <w:spacing w:val="-5"/>
          <w:lang w:val="en-US" w:eastAsia="zh-CN"/>
        </w:rPr>
        <w:t>实现煤炭生产</w:t>
      </w:r>
      <w:r>
        <w:rPr>
          <w:rFonts w:hint="eastAsia" w:ascii="Times New Roman" w:hAnsi="Times New Roman"/>
          <w:spacing w:val="-10"/>
          <w:lang w:val="en-US" w:eastAsia="zh-CN"/>
        </w:rPr>
        <w:t>安全高效。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</w:pP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第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四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条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煤矿智能化项目验收评估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执行《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内蒙古自治区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煤矿智能化建设基本要求及评分方法（试行）》（以下简称《评分方法》）。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</w:pP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第五条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煤矿智能化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项目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分为智能化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井工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煤矿、智能化掘进工作面、智能化综采工作面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和智能化露天煤矿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。评定总得分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分别应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达到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75分。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</w:pP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第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六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条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申请评估的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煤矿智能化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项目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煤矿必须具备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以下全部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基本条件。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.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编制有智能化煤矿建设方案。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.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建立有煤矿智能化系统运行维护管理机制。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.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煤矿智能化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项目各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eastAsia="zh-CN" w:bidi="ar-SA"/>
        </w:rPr>
        <w:t>系统应正常运行一个月以上。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</w:pP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第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七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条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煤矿智能化建设评定等级工作按照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验收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评估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、公示公告的程序进行。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自治区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能源局原则上应在收到煤矿企业申请后的60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天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内完成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公示公告程序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验收</w:t>
      </w:r>
      <w:r>
        <w:rPr>
          <w:rFonts w:hint="eastAsia" w:ascii="Times New Roman" w:hAnsi="Times New Roman" w:eastAsia="楷体_GB2312" w:cs="楷体_GB2312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。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煤矿智能化项目建设完成后，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由煤矿上级公司组织验收，无上级公司的由煤矿组织验收，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验收通过后，将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验收报告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报自治区能源局、内蒙古煤矿安全监察局。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</w:pPr>
      <w:r>
        <w:rPr>
          <w:rFonts w:hint="eastAsia" w:ascii="Times New Roman" w:hAnsi="Times New Roman" w:eastAsia="楷体_GB2312" w:cs="楷体_GB2312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评估</w:t>
      </w:r>
      <w:r>
        <w:rPr>
          <w:rFonts w:hint="eastAsia" w:ascii="Times New Roman" w:hAnsi="Times New Roman" w:eastAsia="楷体_GB2312" w:cs="楷体_GB2312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自治区能源局、内蒙古煤矿安全监察局通知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盟市煤矿监管部门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会同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驻地煤矿安全监察分局（站）组织专家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于10个工作日内完成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对验收结果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评估。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公示公告</w:t>
      </w:r>
      <w:r>
        <w:rPr>
          <w:rFonts w:hint="eastAsia" w:ascii="Times New Roman" w:hAnsi="Times New Roman" w:eastAsia="楷体_GB2312" w:cs="楷体_GB2312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评估合格的，由自治区能源局依据评估报告进行公示，公示期为5个工作日。公示无异议的，由自治区能源局进行公告，并抄送内蒙古煤矿安全监察局。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32"/>
          <w:shd w:val="clear" w:color="auto" w:fill="auto"/>
          <w:lang w:val="zh-CN" w:eastAsia="zh-CN" w:bidi="ar-SA"/>
        </w:rPr>
        <w:t>第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32"/>
          <w:shd w:val="clear" w:color="auto" w:fill="auto"/>
          <w:lang w:val="en-US" w:eastAsia="zh-CN" w:bidi="ar-SA"/>
        </w:rPr>
        <w:t>八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32"/>
          <w:shd w:val="clear" w:color="auto" w:fill="auto"/>
          <w:lang w:val="zh-CN" w:eastAsia="zh-CN" w:bidi="ar-SA"/>
        </w:rPr>
        <w:t>条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32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属地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煤矿监管部门、驻地煤矿安全监察分局（站）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应当每年对智能化煤矿（包括智能化采煤工作面、掘进工作面）开展一次检查，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zh-CN" w:eastAsia="zh-CN" w:bidi="ar-SA"/>
        </w:rPr>
        <w:t>及时将检查结果上报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自治区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zh-CN" w:eastAsia="zh-CN" w:bidi="ar-SA"/>
        </w:rPr>
        <w:t>能源局、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内蒙古煤矿安全监察局</w:t>
      </w: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eastAsia="zh-CN" w:bidi="ar-SA"/>
        </w:rPr>
        <w:t>，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自治区能源局、内蒙古煤矿安全监察局进行抽查，督促动态达标。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</w:pP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32"/>
          <w:shd w:val="clear" w:color="auto" w:fill="auto"/>
          <w:lang w:val="zh-CN" w:eastAsia="zh-CN" w:bidi="ar-SA"/>
        </w:rPr>
        <w:t>第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32"/>
          <w:shd w:val="clear" w:color="auto" w:fill="auto"/>
          <w:lang w:val="en-US" w:eastAsia="zh-CN" w:bidi="ar-SA"/>
        </w:rPr>
        <w:t>九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32"/>
          <w:shd w:val="clear" w:color="auto" w:fill="auto"/>
          <w:lang w:val="zh-CN" w:eastAsia="zh-CN" w:bidi="ar-SA"/>
        </w:rPr>
        <w:t>条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32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国家对智能化煤矿建设有明确规定的从其规定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</w:pP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32"/>
          <w:shd w:val="clear" w:color="auto" w:fill="auto"/>
          <w:lang w:val="zh-CN" w:eastAsia="zh-CN" w:bidi="ar-SA"/>
        </w:rPr>
        <w:t>第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32"/>
          <w:shd w:val="clear" w:color="auto" w:fill="auto"/>
          <w:lang w:val="en-US" w:eastAsia="zh-CN" w:bidi="ar-SA"/>
        </w:rPr>
        <w:t>十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32"/>
          <w:shd w:val="clear" w:color="auto" w:fill="auto"/>
          <w:lang w:val="zh-CN" w:eastAsia="zh-CN" w:bidi="ar-SA"/>
        </w:rPr>
        <w:t>条</w:t>
      </w:r>
      <w:r>
        <w:rPr>
          <w:rFonts w:hint="eastAsia" w:ascii="Times New Roman" w:hAnsi="Times New Roman" w:eastAsia="黑体" w:cs="黑体"/>
          <w:spacing w:val="0"/>
          <w:w w:val="100"/>
          <w:kern w:val="2"/>
          <w:position w:val="0"/>
          <w:sz w:val="32"/>
          <w:szCs w:val="32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本办法由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内蒙古自治区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省能源局、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内蒙古煤矿安全监察局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负责解释，自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en-US" w:eastAsia="zh-CN" w:bidi="ar-SA"/>
        </w:rPr>
        <w:t>发布之日</w:t>
      </w:r>
      <w:r>
        <w:rPr>
          <w:rFonts w:hint="eastAsia" w:ascii="Times New Roman" w:hAnsi="Times New Roman" w:eastAsia="仿宋_GB2312" w:cs="Times New Roman"/>
          <w:spacing w:val="0"/>
          <w:w w:val="100"/>
          <w:kern w:val="2"/>
          <w:position w:val="0"/>
          <w:sz w:val="32"/>
          <w:szCs w:val="22"/>
          <w:shd w:val="clear" w:color="auto" w:fill="auto"/>
          <w:lang w:val="zh-CN" w:eastAsia="zh-CN" w:bidi="ar-SA"/>
        </w:rPr>
        <w:t>起执行。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w w:val="100"/>
          <w:kern w:val="2"/>
          <w:position w:val="0"/>
          <w:sz w:val="44"/>
          <w:szCs w:val="44"/>
          <w:shd w:val="clear" w:color="auto" w:fill="auto"/>
          <w:lang w:val="en-US" w:eastAsia="zh-CN" w:bidi="ar-SA"/>
        </w:rPr>
        <w:sectPr>
          <w:footerReference r:id="rId5" w:type="default"/>
          <w:pgSz w:w="11900" w:h="16840"/>
          <w:pgMar w:top="2086" w:right="1419" w:bottom="1865" w:left="1563" w:header="0" w:footer="1701" w:gutter="0"/>
          <w:pgNumType w:fmt="decimal"/>
          <w:cols w:space="720" w:num="1"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D55B7"/>
    <w:rsid w:val="508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580" w:line="600" w:lineRule="exact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2021-04-16T00:56:00Z</dcterms:created>
  <dc:creator>糖是甜哒</dc:creator>
  <cp:lastModifiedBy>糖是甜哒</cp:lastModifiedBy>
  <dcterms:modified xsi:type="dcterms:W3CDTF">2021-04-16T00:56:41Z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1A4B591C54574CCBAA0FE6B090063E2B</vt:lpwstr>
  </property>
</Properties>
</file>